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E5B1136"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83546B">
        <w:t>103-e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207F4">
        <w:rPr>
          <w:sz w:val="32"/>
          <w:szCs w:val="32"/>
        </w:rPr>
        <w:t>20</w:t>
      </w:r>
      <w:r w:rsidR="005207F4" w:rsidRPr="0024791E">
        <w:rPr>
          <w:sz w:val="32"/>
          <w:szCs w:val="32"/>
        </w:rPr>
        <w:t>09088</w:t>
      </w:r>
    </w:p>
    <w:p w14:paraId="0CE7B7E6" w14:textId="2FD156A4" w:rsidR="00E90E49" w:rsidRPr="00CE0424" w:rsidRDefault="00E411DE" w:rsidP="00311702">
      <w:pPr>
        <w:pStyle w:val="3GPPHeader"/>
      </w:pPr>
      <w:r>
        <w:t>e-Meeting</w:t>
      </w:r>
      <w:r w:rsidR="0083546B">
        <w:t>, October 26</w:t>
      </w:r>
      <w:r w:rsidR="0083546B" w:rsidRPr="0083546B">
        <w:rPr>
          <w:vertAlign w:val="superscript"/>
        </w:rPr>
        <w:t>th</w:t>
      </w:r>
      <w:r w:rsidR="0083546B">
        <w:t xml:space="preserve"> – November 13</w:t>
      </w:r>
      <w:r w:rsidR="0083546B" w:rsidRPr="0083546B">
        <w:rPr>
          <w:vertAlign w:val="superscript"/>
        </w:rPr>
        <w:t>th</w:t>
      </w:r>
      <w:proofErr w:type="gramStart"/>
      <w:r w:rsidR="0083546B">
        <w:t xml:space="preserve"> 2020</w:t>
      </w:r>
      <w:proofErr w:type="gramEnd"/>
    </w:p>
    <w:p w14:paraId="3086AC07" w14:textId="77777777" w:rsidR="00E90E49" w:rsidRPr="00CE0424" w:rsidRDefault="00E90E49" w:rsidP="00357380">
      <w:pPr>
        <w:pStyle w:val="3GPPHeader"/>
      </w:pPr>
    </w:p>
    <w:p w14:paraId="3982483C" w14:textId="6B68F7F4" w:rsidR="00E90E49" w:rsidRPr="006451E5" w:rsidRDefault="00E90E49" w:rsidP="00311702">
      <w:pPr>
        <w:pStyle w:val="3GPPHeader"/>
        <w:rPr>
          <w:sz w:val="22"/>
        </w:rPr>
      </w:pPr>
      <w:r w:rsidRPr="006451E5">
        <w:rPr>
          <w:sz w:val="22"/>
        </w:rPr>
        <w:t>Agenda Item:</w:t>
      </w:r>
      <w:r w:rsidRPr="006451E5">
        <w:rPr>
          <w:sz w:val="22"/>
        </w:rPr>
        <w:tab/>
      </w:r>
      <w:r w:rsidR="00E1287F" w:rsidRPr="006451E5">
        <w:rPr>
          <w:sz w:val="22"/>
        </w:rPr>
        <w:t>8</w:t>
      </w:r>
      <w:r w:rsidR="00311702" w:rsidRPr="006451E5">
        <w:rPr>
          <w:sz w:val="22"/>
        </w:rPr>
        <w:t>.</w:t>
      </w:r>
      <w:r w:rsidR="00E1287F" w:rsidRPr="006451E5">
        <w:rPr>
          <w:sz w:val="22"/>
        </w:rPr>
        <w:t>15</w:t>
      </w:r>
      <w:r w:rsidR="00311702" w:rsidRPr="006451E5">
        <w:rPr>
          <w:sz w:val="22"/>
        </w:rPr>
        <w:t>.</w:t>
      </w:r>
      <w:r w:rsidR="00E1287F" w:rsidRPr="006451E5">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FC69686" w:rsidR="00E90E49" w:rsidRPr="00CE0424" w:rsidRDefault="003D3C45" w:rsidP="00311702">
      <w:pPr>
        <w:pStyle w:val="3GPPHeader"/>
        <w:rPr>
          <w:sz w:val="22"/>
        </w:rPr>
      </w:pPr>
      <w:r w:rsidRPr="00A34770">
        <w:rPr>
          <w:sz w:val="22"/>
        </w:rPr>
        <w:t>Title:</w:t>
      </w:r>
      <w:r w:rsidR="00E90E49" w:rsidRPr="00A34770">
        <w:rPr>
          <w:sz w:val="22"/>
        </w:rPr>
        <w:tab/>
      </w:r>
      <w:r w:rsidR="00FF4574">
        <w:rPr>
          <w:sz w:val="22"/>
        </w:rPr>
        <w:t>On</w:t>
      </w:r>
      <w:r w:rsidR="00AF0D36">
        <w:rPr>
          <w:sz w:val="22"/>
        </w:rPr>
        <w:t xml:space="preserve"> scenarios</w:t>
      </w:r>
      <w:r w:rsidR="00E411DE">
        <w:rPr>
          <w:sz w:val="22"/>
        </w:rPr>
        <w:t xml:space="preserve"> and evaluations</w:t>
      </w:r>
      <w:r w:rsidR="00A34770" w:rsidRPr="00A34770">
        <w:rPr>
          <w:sz w:val="22"/>
        </w:rPr>
        <w:t xml:space="preserve"> </w:t>
      </w:r>
      <w:r w:rsidR="00AF0D36">
        <w:rPr>
          <w:sz w:val="22"/>
        </w:rPr>
        <w:t xml:space="preserve">for </w:t>
      </w:r>
      <w:proofErr w:type="spellStart"/>
      <w:r w:rsidR="00E411DE">
        <w:rPr>
          <w:sz w:val="22"/>
        </w:rPr>
        <w:t>eMTC</w:t>
      </w:r>
      <w:proofErr w:type="spellEnd"/>
      <w:r w:rsidR="0041428E">
        <w:rPr>
          <w:sz w:val="22"/>
        </w:rPr>
        <w:t xml:space="preserve"> and NB-IoT</w:t>
      </w:r>
      <w:r w:rsidR="00E411DE">
        <w:rPr>
          <w:sz w:val="22"/>
        </w:rPr>
        <w:t xml:space="preserve"> based </w:t>
      </w:r>
      <w:r w:rsidR="00A34770" w:rsidRPr="00A34770">
        <w:rPr>
          <w:sz w:val="22"/>
        </w:rPr>
        <w:t>NTN</w:t>
      </w:r>
    </w:p>
    <w:p w14:paraId="2D5672ED" w14:textId="2D24441E" w:rsidR="00E90E49" w:rsidRPr="00E411DE" w:rsidRDefault="00E90E49" w:rsidP="00E411DE">
      <w:pPr>
        <w:pStyle w:val="3GPPHeader"/>
        <w:rPr>
          <w:sz w:val="22"/>
        </w:rPr>
      </w:pPr>
      <w:r w:rsidRPr="00CE0424">
        <w:rPr>
          <w:sz w:val="22"/>
        </w:rPr>
        <w:t>Document for:</w:t>
      </w:r>
      <w:r w:rsidRPr="00CE0424">
        <w:rPr>
          <w:sz w:val="22"/>
        </w:rPr>
        <w:tab/>
      </w:r>
      <w:r w:rsidRPr="00E1287F">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41EEBC4C" w:rsidR="008A2DB9" w:rsidRPr="00E731A9" w:rsidRDefault="00A34770" w:rsidP="00CE0424">
      <w:pPr>
        <w:pStyle w:val="BodyText"/>
        <w:rPr>
          <w:sz w:val="22"/>
        </w:rPr>
      </w:pPr>
      <w:r w:rsidRPr="00E731A9">
        <w:rPr>
          <w:sz w:val="22"/>
        </w:rPr>
        <w:t xml:space="preserve">In RAN#86, a Rel-17 Study Item (SI) on IoT NTN </w:t>
      </w:r>
      <w:r w:rsidR="00BD4F1F" w:rsidRPr="00E731A9">
        <w:rPr>
          <w:sz w:val="22"/>
        </w:rPr>
        <w:fldChar w:fldCharType="begin"/>
      </w:r>
      <w:r w:rsidR="00BD4F1F" w:rsidRPr="00E731A9">
        <w:rPr>
          <w:sz w:val="22"/>
        </w:rPr>
        <w:instrText xml:space="preserve"> REF _Ref49798330 \r \h </w:instrText>
      </w:r>
      <w:r w:rsidR="00E731A9">
        <w:rPr>
          <w:sz w:val="22"/>
        </w:rPr>
        <w:instrText xml:space="preserve"> \* MERGEFORMAT </w:instrText>
      </w:r>
      <w:r w:rsidR="00BD4F1F" w:rsidRPr="00E731A9">
        <w:rPr>
          <w:sz w:val="22"/>
        </w:rPr>
      </w:r>
      <w:r w:rsidR="00BD4F1F" w:rsidRPr="00E731A9">
        <w:rPr>
          <w:sz w:val="22"/>
        </w:rPr>
        <w:fldChar w:fldCharType="separate"/>
      </w:r>
      <w:r w:rsidR="00256A82">
        <w:rPr>
          <w:sz w:val="22"/>
        </w:rPr>
        <w:t>[1]</w:t>
      </w:r>
      <w:r w:rsidR="00BD4F1F" w:rsidRPr="00E731A9">
        <w:rPr>
          <w:sz w:val="22"/>
        </w:rPr>
        <w:fldChar w:fldCharType="end"/>
      </w:r>
      <w:r w:rsidR="00BD4F1F" w:rsidRPr="00E731A9">
        <w:rPr>
          <w:sz w:val="22"/>
        </w:rPr>
        <w:t xml:space="preserve"> </w:t>
      </w:r>
      <w:r w:rsidRPr="00E731A9">
        <w:rPr>
          <w:sz w:val="22"/>
        </w:rPr>
        <w:t xml:space="preserve">was approved to evaluate the feasibility of NTN for NB-IoT and </w:t>
      </w:r>
      <w:proofErr w:type="spellStart"/>
      <w:r w:rsidR="00E411DE" w:rsidRPr="00E731A9">
        <w:rPr>
          <w:sz w:val="22"/>
        </w:rPr>
        <w:t>eMTC</w:t>
      </w:r>
      <w:proofErr w:type="spellEnd"/>
      <w:r w:rsidRPr="00E731A9">
        <w:rPr>
          <w:sz w:val="22"/>
        </w:rPr>
        <w:t xml:space="preserve">. </w:t>
      </w:r>
      <w:r w:rsidR="008A2DB9" w:rsidRPr="00E731A9">
        <w:rPr>
          <w:sz w:val="22"/>
        </w:rPr>
        <w:t>It was agreed to u</w:t>
      </w:r>
      <w:r w:rsidRPr="00E731A9">
        <w:rPr>
          <w:sz w:val="22"/>
        </w:rPr>
        <w:t>s</w:t>
      </w:r>
      <w:r w:rsidR="008A2DB9" w:rsidRPr="00E731A9">
        <w:rPr>
          <w:sz w:val="22"/>
        </w:rPr>
        <w:t>e</w:t>
      </w:r>
      <w:r w:rsidRPr="00E731A9">
        <w:rPr>
          <w:sz w:val="22"/>
        </w:rPr>
        <w:t xml:space="preserve"> the existing work on NR NTN captured in TR 38.</w:t>
      </w:r>
      <w:r w:rsidR="00E411DE" w:rsidRPr="00E731A9">
        <w:rPr>
          <w:sz w:val="22"/>
        </w:rPr>
        <w:t>8</w:t>
      </w:r>
      <w:r w:rsidRPr="00E731A9">
        <w:rPr>
          <w:sz w:val="22"/>
        </w:rPr>
        <w:t xml:space="preserve">21 </w:t>
      </w:r>
      <w:r w:rsidR="00BD4F1F" w:rsidRPr="00E731A9">
        <w:rPr>
          <w:sz w:val="22"/>
        </w:rPr>
        <w:fldChar w:fldCharType="begin"/>
      </w:r>
      <w:r w:rsidR="00BD4F1F" w:rsidRPr="00E731A9">
        <w:rPr>
          <w:sz w:val="22"/>
        </w:rPr>
        <w:instrText xml:space="preserve"> REF _Ref49798325 \r \h </w:instrText>
      </w:r>
      <w:r w:rsidR="00E731A9">
        <w:rPr>
          <w:sz w:val="22"/>
        </w:rPr>
        <w:instrText xml:space="preserve"> \* MERGEFORMAT </w:instrText>
      </w:r>
      <w:r w:rsidR="00BD4F1F" w:rsidRPr="00E731A9">
        <w:rPr>
          <w:sz w:val="22"/>
        </w:rPr>
      </w:r>
      <w:r w:rsidR="00BD4F1F" w:rsidRPr="00E731A9">
        <w:rPr>
          <w:sz w:val="22"/>
        </w:rPr>
        <w:fldChar w:fldCharType="separate"/>
      </w:r>
      <w:r w:rsidR="00256A82">
        <w:rPr>
          <w:sz w:val="22"/>
        </w:rPr>
        <w:t>[2]</w:t>
      </w:r>
      <w:r w:rsidR="00BD4F1F" w:rsidRPr="00E731A9">
        <w:rPr>
          <w:sz w:val="22"/>
        </w:rPr>
        <w:fldChar w:fldCharType="end"/>
      </w:r>
      <w:r w:rsidR="00BD4F1F" w:rsidRPr="00E731A9">
        <w:rPr>
          <w:sz w:val="22"/>
        </w:rPr>
        <w:t xml:space="preserve"> </w:t>
      </w:r>
      <w:r w:rsidRPr="00E731A9">
        <w:rPr>
          <w:sz w:val="22"/>
        </w:rPr>
        <w:t xml:space="preserve">as </w:t>
      </w:r>
      <w:r w:rsidR="00BD4F1F" w:rsidRPr="00E731A9">
        <w:rPr>
          <w:sz w:val="22"/>
        </w:rPr>
        <w:t xml:space="preserve">a </w:t>
      </w:r>
      <w:r w:rsidRPr="00E731A9">
        <w:rPr>
          <w:sz w:val="22"/>
        </w:rPr>
        <w:t>baseline</w:t>
      </w:r>
      <w:r w:rsidR="008A2DB9" w:rsidRPr="00E731A9">
        <w:rPr>
          <w:sz w:val="22"/>
        </w:rPr>
        <w:t xml:space="preserve">. The </w:t>
      </w:r>
      <w:r w:rsidR="00AF0D36" w:rsidRPr="00E731A9">
        <w:rPr>
          <w:sz w:val="22"/>
        </w:rPr>
        <w:t>first</w:t>
      </w:r>
      <w:r w:rsidR="00A57255" w:rsidRPr="00E731A9">
        <w:rPr>
          <w:sz w:val="22"/>
        </w:rPr>
        <w:t xml:space="preserve"> </w:t>
      </w:r>
      <w:r w:rsidR="008A2DB9" w:rsidRPr="00E731A9">
        <w:rPr>
          <w:sz w:val="22"/>
        </w:rPr>
        <w:t>objective</w:t>
      </w:r>
      <w:r w:rsidR="0041428E" w:rsidRPr="00E731A9">
        <w:rPr>
          <w:sz w:val="22"/>
        </w:rPr>
        <w:t xml:space="preserve"> of this study </w:t>
      </w:r>
      <w:r w:rsidR="00AF0D36" w:rsidRPr="00E731A9">
        <w:rPr>
          <w:sz w:val="22"/>
        </w:rPr>
        <w:t>is</w:t>
      </w:r>
      <w:r w:rsidR="008A2DB9" w:rsidRPr="00E731A9">
        <w:rPr>
          <w:sz w:val="22"/>
        </w:rPr>
        <w:t xml:space="preserve"> as follows.</w:t>
      </w:r>
      <w:r w:rsidRPr="00E731A9">
        <w:rPr>
          <w:sz w:val="22"/>
        </w:rPr>
        <w:t xml:space="preserve"> </w:t>
      </w:r>
      <w:r w:rsidR="008A2DB9" w:rsidRPr="00E731A9">
        <w:rPr>
          <w:sz w:val="22"/>
        </w:rPr>
        <w:t xml:space="preserve"> </w:t>
      </w:r>
    </w:p>
    <w:p w14:paraId="444D3712" w14:textId="3C8B218A" w:rsidR="0041428E" w:rsidRPr="00E731A9" w:rsidRDefault="0041428E" w:rsidP="00AF0D36">
      <w:pPr>
        <w:rPr>
          <w:rFonts w:cs="Arial"/>
          <w:i/>
          <w:iCs/>
          <w:sz w:val="22"/>
        </w:rPr>
      </w:pPr>
      <w:r w:rsidRPr="00E731A9">
        <w:rPr>
          <w:noProof/>
          <w:sz w:val="22"/>
        </w:rPr>
        <mc:AlternateContent>
          <mc:Choice Requires="wps">
            <w:drawing>
              <wp:inline distT="0" distB="0" distL="0" distR="0" wp14:anchorId="548A624D" wp14:editId="6F0E8D8A">
                <wp:extent cx="6120765" cy="2269067"/>
                <wp:effectExtent l="0" t="0" r="13335" b="1714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9067"/>
                        </a:xfrm>
                        <a:prstGeom prst="rect">
                          <a:avLst/>
                        </a:prstGeom>
                        <a:solidFill>
                          <a:schemeClr val="lt1">
                            <a:lumMod val="100000"/>
                            <a:lumOff val="0"/>
                          </a:schemeClr>
                        </a:solidFill>
                        <a:ln w="6350">
                          <a:solidFill>
                            <a:srgbClr val="000000"/>
                          </a:solidFill>
                          <a:miter lim="800000"/>
                          <a:headEnd/>
                          <a:tailEnd/>
                        </a:ln>
                      </wps:spPr>
                      <wps:txbx>
                        <w:txbxContent>
                          <w:p w14:paraId="5C258023" w14:textId="77777777" w:rsidR="00A1187C" w:rsidRPr="00E731A9" w:rsidRDefault="00A1187C" w:rsidP="0041428E">
                            <w:pPr>
                              <w:rPr>
                                <w:rFonts w:ascii="Times New Roman" w:hAnsi="Times New Roman" w:cs="Times New Roman"/>
                                <w:sz w:val="22"/>
                              </w:rPr>
                            </w:pPr>
                            <w:r w:rsidRPr="00E731A9">
                              <w:rPr>
                                <w:rFonts w:ascii="Times New Roman" w:hAnsi="Times New Roman" w:cs="Times New Roman"/>
                                <w:sz w:val="22"/>
                              </w:rPr>
                              <w:t>The first objective of this Study is to identify scenarios applicable to NB-IoT/</w:t>
                            </w:r>
                            <w:proofErr w:type="spellStart"/>
                            <w:r w:rsidRPr="00E731A9">
                              <w:rPr>
                                <w:rFonts w:ascii="Times New Roman" w:hAnsi="Times New Roman" w:cs="Times New Roman"/>
                                <w:sz w:val="22"/>
                              </w:rPr>
                              <w:t>eMTC</w:t>
                            </w:r>
                            <w:proofErr w:type="spellEnd"/>
                            <w:r w:rsidRPr="00E731A9">
                              <w:rPr>
                                <w:rFonts w:ascii="Times New Roman" w:hAnsi="Times New Roman" w:cs="Times New Roman"/>
                                <w:sz w:val="22"/>
                              </w:rPr>
                              <w:t xml:space="preserve"> [RAN1, RAN2], including:</w:t>
                            </w:r>
                          </w:p>
                          <w:p w14:paraId="25B19C61"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Bands of interest in sub 6 GHz</w:t>
                            </w:r>
                          </w:p>
                          <w:p w14:paraId="29C8EAAA"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 xml:space="preserve">Device type with PC3 or PC5 (LEO and GEO) </w:t>
                            </w:r>
                          </w:p>
                          <w:p w14:paraId="1BDF42CB"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 xml:space="preserve">Satellite constellation orbit LEO and GEO </w:t>
                            </w:r>
                          </w:p>
                          <w:p w14:paraId="5F1220B7"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Transparent payload.</w:t>
                            </w:r>
                          </w:p>
                          <w:p w14:paraId="557DE472"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Link budget</w:t>
                            </w:r>
                          </w:p>
                          <w:p w14:paraId="59B1CCB1" w14:textId="77777777" w:rsidR="00A1187C" w:rsidRPr="00E731A9" w:rsidRDefault="00A1187C" w:rsidP="0041428E">
                            <w:pPr>
                              <w:pStyle w:val="NO"/>
                              <w:rPr>
                                <w:rFonts w:ascii="Times New Roman" w:hAnsi="Times New Roman" w:cs="Times New Roman"/>
                                <w:sz w:val="22"/>
                              </w:rPr>
                            </w:pPr>
                            <w:r w:rsidRPr="00E731A9">
                              <w:rPr>
                                <w:rFonts w:ascii="Times New Roman" w:hAnsi="Times New Roman" w:cs="Times New Roman"/>
                                <w:sz w:val="22"/>
                              </w:rPr>
                              <w:t>NOTE 1: This first objective will be based on the scenarios documented in TR 38.821.</w:t>
                            </w:r>
                          </w:p>
                          <w:p w14:paraId="150695FE" w14:textId="77777777" w:rsidR="00A1187C" w:rsidRPr="00E731A9" w:rsidRDefault="00A1187C" w:rsidP="0041428E">
                            <w:pPr>
                              <w:pStyle w:val="NO"/>
                              <w:rPr>
                                <w:rFonts w:ascii="Times New Roman" w:hAnsi="Times New Roman" w:cs="Times New Roman"/>
                                <w:sz w:val="22"/>
                              </w:rPr>
                            </w:pPr>
                            <w:r w:rsidRPr="00E731A9">
                              <w:rPr>
                                <w:rFonts w:ascii="Times New Roman" w:hAnsi="Times New Roman" w:cs="Times New Roman"/>
                                <w:sz w:val="22"/>
                              </w:rPr>
                              <w:t>NOTE 2: UE mobility assumptions follow terrestrial NB-IoT/</w:t>
                            </w:r>
                            <w:proofErr w:type="spellStart"/>
                            <w:r w:rsidRPr="00E731A9">
                              <w:rPr>
                                <w:rFonts w:ascii="Times New Roman" w:hAnsi="Times New Roman" w:cs="Times New Roman"/>
                                <w:sz w:val="22"/>
                              </w:rPr>
                              <w:t>eMTC</w:t>
                            </w:r>
                            <w:proofErr w:type="spellEnd"/>
                            <w:r w:rsidRPr="00E731A9">
                              <w:rPr>
                                <w:rFonts w:ascii="Times New Roman" w:hAnsi="Times New Roman" w:cs="Times New Roman"/>
                                <w:sz w:val="22"/>
                              </w:rPr>
                              <w:t xml:space="preserve"> assumptions.</w:t>
                            </w:r>
                          </w:p>
                          <w:p w14:paraId="42481DA9" w14:textId="77777777" w:rsidR="00A1187C" w:rsidRPr="0041428E" w:rsidRDefault="00A1187C" w:rsidP="0041428E">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548A624D" id="_x0000_t202" coordsize="21600,21600" o:spt="202" path="m,l,21600r21600,l21600,xe">
                <v:stroke joinstyle="miter"/>
                <v:path gradientshapeok="t" o:connecttype="rect"/>
              </v:shapetype>
              <v:shape id="Text Box 6" o:spid="_x0000_s1026" type="#_x0000_t202" style="width:481.95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" fillcolor="white [3201]" strokeweight=".5pt">
                <v:textbox>
                  <w:txbxContent>
                    <w:p w14:paraId="5C258023" w14:textId="77777777" w:rsidR="00A1187C" w:rsidRPr="00E731A9" w:rsidRDefault="00A1187C" w:rsidP="0041428E">
                      <w:pPr>
                        <w:rPr>
                          <w:rFonts w:ascii="Times New Roman" w:hAnsi="Times New Roman" w:cs="Times New Roman"/>
                          <w:sz w:val="22"/>
                        </w:rPr>
                      </w:pPr>
                      <w:r w:rsidRPr="00E731A9">
                        <w:rPr>
                          <w:rFonts w:ascii="Times New Roman" w:hAnsi="Times New Roman" w:cs="Times New Roman"/>
                          <w:sz w:val="22"/>
                        </w:rPr>
                        <w:t>The first objective of this Study is to identify scenarios applicable to NB-IoT/</w:t>
                      </w:r>
                      <w:proofErr w:type="spellStart"/>
                      <w:r w:rsidRPr="00E731A9">
                        <w:rPr>
                          <w:rFonts w:ascii="Times New Roman" w:hAnsi="Times New Roman" w:cs="Times New Roman"/>
                          <w:sz w:val="22"/>
                        </w:rPr>
                        <w:t>eMTC</w:t>
                      </w:r>
                      <w:proofErr w:type="spellEnd"/>
                      <w:r w:rsidRPr="00E731A9">
                        <w:rPr>
                          <w:rFonts w:ascii="Times New Roman" w:hAnsi="Times New Roman" w:cs="Times New Roman"/>
                          <w:sz w:val="22"/>
                        </w:rPr>
                        <w:t xml:space="preserve"> [RAN1, RAN2], including:</w:t>
                      </w:r>
                    </w:p>
                    <w:p w14:paraId="25B19C61"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Bands of interest in sub 6 GHz</w:t>
                      </w:r>
                    </w:p>
                    <w:p w14:paraId="29C8EAAA"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 xml:space="preserve">Device type with PC3 or PC5 (LEO and GEO) </w:t>
                      </w:r>
                    </w:p>
                    <w:p w14:paraId="1BDF42CB"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 xml:space="preserve">Satellite constellation orbit LEO and GEO </w:t>
                      </w:r>
                    </w:p>
                    <w:p w14:paraId="5F1220B7"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Transparent payload.</w:t>
                      </w:r>
                    </w:p>
                    <w:p w14:paraId="557DE472" w14:textId="77777777" w:rsidR="00A1187C" w:rsidRPr="00E731A9" w:rsidRDefault="00A1187C" w:rsidP="0041428E">
                      <w:pPr>
                        <w:pStyle w:val="B1"/>
                        <w:rPr>
                          <w:rFonts w:cs="Times New Roman"/>
                          <w:sz w:val="22"/>
                        </w:rPr>
                      </w:pPr>
                      <w:r w:rsidRPr="00E731A9">
                        <w:rPr>
                          <w:rFonts w:cs="Times New Roman"/>
                          <w:sz w:val="22"/>
                        </w:rPr>
                        <w:t>-</w:t>
                      </w:r>
                      <w:r w:rsidRPr="00E731A9">
                        <w:rPr>
                          <w:rFonts w:cs="Times New Roman"/>
                          <w:sz w:val="22"/>
                        </w:rPr>
                        <w:tab/>
                        <w:t>Link budget</w:t>
                      </w:r>
                    </w:p>
                    <w:p w14:paraId="59B1CCB1" w14:textId="77777777" w:rsidR="00A1187C" w:rsidRPr="00E731A9" w:rsidRDefault="00A1187C" w:rsidP="0041428E">
                      <w:pPr>
                        <w:pStyle w:val="NO"/>
                        <w:rPr>
                          <w:rFonts w:ascii="Times New Roman" w:hAnsi="Times New Roman" w:cs="Times New Roman"/>
                          <w:sz w:val="22"/>
                        </w:rPr>
                      </w:pPr>
                      <w:r w:rsidRPr="00E731A9">
                        <w:rPr>
                          <w:rFonts w:ascii="Times New Roman" w:hAnsi="Times New Roman" w:cs="Times New Roman"/>
                          <w:sz w:val="22"/>
                        </w:rPr>
                        <w:t>NOTE 1: This first objective will be based on the scenarios documented in TR 38.821.</w:t>
                      </w:r>
                    </w:p>
                    <w:p w14:paraId="150695FE" w14:textId="77777777" w:rsidR="00A1187C" w:rsidRPr="00E731A9" w:rsidRDefault="00A1187C" w:rsidP="0041428E">
                      <w:pPr>
                        <w:pStyle w:val="NO"/>
                        <w:rPr>
                          <w:rFonts w:ascii="Times New Roman" w:hAnsi="Times New Roman" w:cs="Times New Roman"/>
                          <w:sz w:val="22"/>
                        </w:rPr>
                      </w:pPr>
                      <w:r w:rsidRPr="00E731A9">
                        <w:rPr>
                          <w:rFonts w:ascii="Times New Roman" w:hAnsi="Times New Roman" w:cs="Times New Roman"/>
                          <w:sz w:val="22"/>
                        </w:rPr>
                        <w:t>NOTE 2: UE mobility assumptions follow terrestrial NB-IoT/</w:t>
                      </w:r>
                      <w:proofErr w:type="spellStart"/>
                      <w:r w:rsidRPr="00E731A9">
                        <w:rPr>
                          <w:rFonts w:ascii="Times New Roman" w:hAnsi="Times New Roman" w:cs="Times New Roman"/>
                          <w:sz w:val="22"/>
                        </w:rPr>
                        <w:t>eMTC</w:t>
                      </w:r>
                      <w:proofErr w:type="spellEnd"/>
                      <w:r w:rsidRPr="00E731A9">
                        <w:rPr>
                          <w:rFonts w:ascii="Times New Roman" w:hAnsi="Times New Roman" w:cs="Times New Roman"/>
                          <w:sz w:val="22"/>
                        </w:rPr>
                        <w:t xml:space="preserve"> assumptions.</w:t>
                      </w:r>
                    </w:p>
                    <w:p w14:paraId="42481DA9" w14:textId="77777777" w:rsidR="00A1187C" w:rsidRPr="0041428E" w:rsidRDefault="00A1187C" w:rsidP="0041428E">
                      <w:pPr>
                        <w:jc w:val="both"/>
                        <w:rPr>
                          <w:rFonts w:ascii="Times New Roman" w:hAnsi="Times New Roman" w:cs="Times New Roman"/>
                          <w:lang w:eastAsia="ja-JP"/>
                        </w:rPr>
                      </w:pPr>
                    </w:p>
                  </w:txbxContent>
                </v:textbox>
                <w10:anchorlock/>
              </v:shape>
            </w:pict>
          </mc:Fallback>
        </mc:AlternateContent>
      </w:r>
    </w:p>
    <w:p w14:paraId="1A9B3F08" w14:textId="61D75062" w:rsidR="00A34770" w:rsidRPr="00E731A9" w:rsidRDefault="008A2DB9" w:rsidP="00CE0424">
      <w:pPr>
        <w:pStyle w:val="BodyText"/>
        <w:rPr>
          <w:rFonts w:cs="Arial"/>
          <w:sz w:val="22"/>
        </w:rPr>
      </w:pPr>
      <w:r w:rsidRPr="00E731A9">
        <w:rPr>
          <w:rFonts w:cs="Arial"/>
          <w:sz w:val="22"/>
        </w:rPr>
        <w:t xml:space="preserve">In this </w:t>
      </w:r>
      <w:r w:rsidR="00AF0D36" w:rsidRPr="00E731A9">
        <w:rPr>
          <w:rFonts w:cs="Arial"/>
          <w:sz w:val="22"/>
        </w:rPr>
        <w:t>contribution</w:t>
      </w:r>
      <w:r w:rsidRPr="00E731A9">
        <w:rPr>
          <w:rFonts w:cs="Arial"/>
          <w:sz w:val="22"/>
        </w:rPr>
        <w:t xml:space="preserve">, we present our views on </w:t>
      </w:r>
      <w:r w:rsidR="0041428E" w:rsidRPr="00E731A9">
        <w:rPr>
          <w:rFonts w:cs="Arial"/>
          <w:sz w:val="22"/>
        </w:rPr>
        <w:t>scenarios</w:t>
      </w:r>
      <w:r w:rsidR="006131EF" w:rsidRPr="00E731A9">
        <w:rPr>
          <w:rFonts w:cs="Arial"/>
          <w:sz w:val="22"/>
        </w:rPr>
        <w:t xml:space="preserve"> </w:t>
      </w:r>
      <w:r w:rsidR="00AF0D36" w:rsidRPr="00E731A9">
        <w:rPr>
          <w:rFonts w:cs="Arial"/>
          <w:sz w:val="22"/>
        </w:rPr>
        <w:t>relevant for</w:t>
      </w:r>
      <w:r w:rsidR="006131EF" w:rsidRPr="00E731A9">
        <w:rPr>
          <w:rFonts w:cs="Arial"/>
          <w:sz w:val="22"/>
        </w:rPr>
        <w:t xml:space="preserve"> IoT NTN</w:t>
      </w:r>
      <w:r w:rsidR="0041428E" w:rsidRPr="00E731A9">
        <w:rPr>
          <w:rFonts w:cs="Arial"/>
          <w:sz w:val="22"/>
        </w:rPr>
        <w:t xml:space="preserve"> and discuss what evaluations are needed to verify</w:t>
      </w:r>
      <w:r w:rsidR="0041428E" w:rsidRPr="00E731A9">
        <w:rPr>
          <w:sz w:val="22"/>
        </w:rPr>
        <w:t xml:space="preserve"> the feasibility of NTN for </w:t>
      </w:r>
      <w:proofErr w:type="spellStart"/>
      <w:r w:rsidR="0041428E" w:rsidRPr="00E731A9">
        <w:rPr>
          <w:sz w:val="22"/>
        </w:rPr>
        <w:t>eMTC</w:t>
      </w:r>
      <w:proofErr w:type="spellEnd"/>
      <w:r w:rsidR="00877379" w:rsidRPr="00E731A9">
        <w:rPr>
          <w:sz w:val="22"/>
        </w:rPr>
        <w:t xml:space="preserve"> and NB-IoT</w:t>
      </w:r>
      <w:r w:rsidR="0041428E" w:rsidRPr="00E731A9">
        <w:rPr>
          <w:sz w:val="22"/>
        </w:rPr>
        <w:t>.</w:t>
      </w:r>
    </w:p>
    <w:p w14:paraId="60123794" w14:textId="072B9085" w:rsidR="004000E8" w:rsidRDefault="00230D18" w:rsidP="00CE0424">
      <w:pPr>
        <w:pStyle w:val="Heading1"/>
      </w:pPr>
      <w:bookmarkStart w:id="1" w:name="_Ref178064866"/>
      <w:r>
        <w:t>2</w:t>
      </w:r>
      <w:r>
        <w:tab/>
      </w:r>
      <w:bookmarkEnd w:id="1"/>
      <w:r w:rsidR="0041428E">
        <w:t>Background</w:t>
      </w:r>
    </w:p>
    <w:p w14:paraId="093341A1" w14:textId="6A86752A" w:rsidR="0041428E" w:rsidRPr="00E731A9" w:rsidRDefault="0041428E" w:rsidP="0041428E">
      <w:pPr>
        <w:pStyle w:val="BodyText"/>
        <w:rPr>
          <w:sz w:val="22"/>
        </w:rPr>
      </w:pPr>
      <w:r w:rsidRPr="00E731A9">
        <w:rPr>
          <w:rFonts w:cs="Arial"/>
          <w:sz w:val="22"/>
        </w:rPr>
        <w:t xml:space="preserve">3GPP has actively worked on MTC related improvements for LTE already since Release 8. Delay-tolerant access radio resource control (RRC) establishment was introduced in LTE Release 10. It allows the network to deprioritize connection requests from delay tolerant UEs. </w:t>
      </w:r>
      <w:r w:rsidR="003C6066">
        <w:rPr>
          <w:rFonts w:cs="Arial"/>
          <w:sz w:val="22"/>
        </w:rPr>
        <w:t>Rel-</w:t>
      </w:r>
      <w:r w:rsidRPr="00E731A9">
        <w:rPr>
          <w:rFonts w:cs="Arial"/>
          <w:sz w:val="22"/>
        </w:rPr>
        <w:t>11 specified</w:t>
      </w:r>
      <w:r w:rsidRPr="00E731A9" w:rsidDel="00A910EF">
        <w:rPr>
          <w:rFonts w:cs="Arial"/>
          <w:sz w:val="22"/>
        </w:rPr>
        <w:t xml:space="preserve"> </w:t>
      </w:r>
      <w:r w:rsidRPr="00E731A9">
        <w:rPr>
          <w:rFonts w:cs="Arial"/>
          <w:sz w:val="22"/>
        </w:rPr>
        <w:t xml:space="preserve">enhanced access barring (EAB), which allows barring of delay tolerant UEs in an overload scenario. In </w:t>
      </w:r>
      <w:r w:rsidR="003C6066">
        <w:rPr>
          <w:rFonts w:cs="Arial"/>
          <w:sz w:val="22"/>
        </w:rPr>
        <w:t>Rel-</w:t>
      </w:r>
      <w:r w:rsidRPr="00E731A9">
        <w:rPr>
          <w:rFonts w:cs="Arial"/>
          <w:sz w:val="22"/>
        </w:rPr>
        <w:t xml:space="preserve">12 the power-saving mode (PSM) feature was specified. It allows a UE to remain registered to a network while powering down.  Together with the </w:t>
      </w:r>
      <w:r w:rsidR="003C6066">
        <w:rPr>
          <w:rFonts w:cs="Arial"/>
          <w:sz w:val="22"/>
        </w:rPr>
        <w:t>Rel-</w:t>
      </w:r>
      <w:r w:rsidRPr="00E731A9">
        <w:rPr>
          <w:rFonts w:cs="Arial"/>
          <w:sz w:val="22"/>
        </w:rPr>
        <w:t>13 extended DRX (</w:t>
      </w:r>
      <w:proofErr w:type="spellStart"/>
      <w:r w:rsidRPr="00E731A9">
        <w:rPr>
          <w:rFonts w:cs="Arial"/>
          <w:sz w:val="22"/>
        </w:rPr>
        <w:t>eDRX</w:t>
      </w:r>
      <w:proofErr w:type="spellEnd"/>
      <w:r w:rsidRPr="00E731A9">
        <w:rPr>
          <w:rFonts w:cs="Arial"/>
          <w:sz w:val="22"/>
        </w:rPr>
        <w:t xml:space="preserve">) feature, PSM allows UEs to optimize their time spent in the power efficient RRC Idle mode.  </w:t>
      </w:r>
    </w:p>
    <w:p w14:paraId="0E6964D4" w14:textId="4349BA1A" w:rsidR="0041428E" w:rsidRPr="00E731A9" w:rsidRDefault="0041428E" w:rsidP="0041428E">
      <w:pPr>
        <w:pStyle w:val="BodyText"/>
        <w:rPr>
          <w:rFonts w:cs="Arial"/>
          <w:sz w:val="22"/>
        </w:rPr>
      </w:pPr>
      <w:r w:rsidRPr="00E731A9">
        <w:rPr>
          <w:rFonts w:cs="Arial"/>
          <w:sz w:val="22"/>
        </w:rPr>
        <w:t xml:space="preserve">In </w:t>
      </w:r>
      <w:r w:rsidR="003C6066">
        <w:rPr>
          <w:rFonts w:cs="Arial"/>
          <w:sz w:val="22"/>
        </w:rPr>
        <w:t>Rel-</w:t>
      </w:r>
      <w:r w:rsidRPr="00E731A9">
        <w:rPr>
          <w:rFonts w:cs="Arial"/>
          <w:sz w:val="22"/>
        </w:rPr>
        <w:t>13</w:t>
      </w:r>
      <w:r w:rsidR="00270365" w:rsidRPr="00E731A9">
        <w:rPr>
          <w:rFonts w:cs="Arial"/>
          <w:sz w:val="22"/>
        </w:rPr>
        <w:t>,</w:t>
      </w:r>
      <w:r w:rsidRPr="00E731A9">
        <w:rPr>
          <w:rFonts w:cs="Arial"/>
          <w:sz w:val="22"/>
        </w:rPr>
        <w:t xml:space="preserve"> 3GPP specified </w:t>
      </w:r>
      <w:proofErr w:type="spellStart"/>
      <w:r w:rsidRPr="00E731A9">
        <w:rPr>
          <w:rFonts w:cs="Arial"/>
          <w:sz w:val="22"/>
        </w:rPr>
        <w:t>eMTC</w:t>
      </w:r>
      <w:proofErr w:type="spellEnd"/>
      <w:r w:rsidRPr="00E731A9">
        <w:rPr>
          <w:rFonts w:cs="Arial"/>
          <w:sz w:val="22"/>
        </w:rPr>
        <w:t xml:space="preserve"> and NB</w:t>
      </w:r>
      <w:r w:rsidR="068B3A20" w:rsidRPr="00E731A9">
        <w:rPr>
          <w:rFonts w:cs="Arial"/>
          <w:sz w:val="22"/>
        </w:rPr>
        <w:t>-</w:t>
      </w:r>
      <w:r w:rsidRPr="00E731A9">
        <w:rPr>
          <w:rFonts w:cs="Arial"/>
          <w:sz w:val="22"/>
        </w:rPr>
        <w:t>IoT to support the massive machine type communications (</w:t>
      </w:r>
      <w:proofErr w:type="spellStart"/>
      <w:r w:rsidRPr="00E731A9">
        <w:rPr>
          <w:rFonts w:cs="Arial"/>
          <w:sz w:val="22"/>
        </w:rPr>
        <w:t>mMTC</w:t>
      </w:r>
      <w:proofErr w:type="spellEnd"/>
      <w:r w:rsidRPr="00E731A9">
        <w:rPr>
          <w:rFonts w:cs="Arial"/>
          <w:sz w:val="22"/>
        </w:rPr>
        <w:t xml:space="preserve">) use case. The </w:t>
      </w:r>
      <w:proofErr w:type="spellStart"/>
      <w:r w:rsidRPr="00E731A9">
        <w:rPr>
          <w:rFonts w:cs="Arial"/>
          <w:sz w:val="22"/>
        </w:rPr>
        <w:t>mMTC</w:t>
      </w:r>
      <w:proofErr w:type="spellEnd"/>
      <w:r w:rsidRPr="00E731A9">
        <w:rPr>
          <w:rFonts w:cs="Arial"/>
          <w:sz w:val="22"/>
        </w:rPr>
        <w:t xml:space="preserve"> use case is characterized by requirements such as support of a massive number of UEs, low UE complexity to provide low UE cost, long UE battery life to limit the need for battery charging and replacement, and coverage enhancements to provide ubiquitous coverage. </w:t>
      </w:r>
    </w:p>
    <w:p w14:paraId="5F986977" w14:textId="475AC641" w:rsidR="00F302CB" w:rsidRDefault="00230D18" w:rsidP="00F302CB">
      <w:pPr>
        <w:pStyle w:val="Heading2"/>
      </w:pPr>
      <w:r>
        <w:lastRenderedPageBreak/>
        <w:t>2.1</w:t>
      </w:r>
      <w:r>
        <w:tab/>
      </w:r>
      <w:proofErr w:type="spellStart"/>
      <w:r w:rsidR="0041428E">
        <w:t>eMTC</w:t>
      </w:r>
      <w:proofErr w:type="spellEnd"/>
    </w:p>
    <w:p w14:paraId="1255B7A0" w14:textId="522FB55E" w:rsidR="0041428E" w:rsidRPr="00E731A9" w:rsidRDefault="0041428E" w:rsidP="0041428E">
      <w:pPr>
        <w:pStyle w:val="BodyText"/>
        <w:rPr>
          <w:rFonts w:cs="Arial"/>
          <w:sz w:val="22"/>
        </w:rPr>
      </w:pPr>
      <w:r w:rsidRPr="00E731A9">
        <w:rPr>
          <w:rFonts w:cs="Arial"/>
          <w:sz w:val="22"/>
        </w:rPr>
        <w:t xml:space="preserve">3GPP </w:t>
      </w:r>
      <w:r w:rsidR="003C6066">
        <w:rPr>
          <w:rFonts w:cs="Arial"/>
          <w:sz w:val="22"/>
        </w:rPr>
        <w:t>Rel-</w:t>
      </w:r>
      <w:r w:rsidRPr="00E731A9">
        <w:rPr>
          <w:rFonts w:cs="Arial"/>
          <w:sz w:val="22"/>
        </w:rPr>
        <w:t xml:space="preserve">12 initiated the work on </w:t>
      </w:r>
      <w:proofErr w:type="spellStart"/>
      <w:r w:rsidR="00877379" w:rsidRPr="00E731A9">
        <w:rPr>
          <w:rFonts w:cs="Arial"/>
          <w:sz w:val="22"/>
        </w:rPr>
        <w:t>eMTC</w:t>
      </w:r>
      <w:proofErr w:type="spellEnd"/>
      <w:r w:rsidRPr="00E731A9">
        <w:rPr>
          <w:rFonts w:cs="Arial"/>
          <w:sz w:val="22"/>
        </w:rPr>
        <w:t>, also often referred to as</w:t>
      </w:r>
      <w:r w:rsidR="00877379" w:rsidRPr="00E731A9">
        <w:rPr>
          <w:rFonts w:cs="Arial"/>
          <w:sz w:val="22"/>
        </w:rPr>
        <w:t xml:space="preserve"> LTE-M </w:t>
      </w:r>
      <w:r w:rsidR="00877379" w:rsidRPr="00E731A9">
        <w:rPr>
          <w:rFonts w:cs="Arial"/>
          <w:sz w:val="22"/>
        </w:rPr>
        <w:fldChar w:fldCharType="begin"/>
      </w:r>
      <w:r w:rsidR="00877379" w:rsidRPr="00E731A9">
        <w:rPr>
          <w:rFonts w:cs="Arial"/>
          <w:sz w:val="22"/>
        </w:rPr>
        <w:instrText xml:space="preserve"> REF _Ref51243098 \r \h </w:instrText>
      </w:r>
      <w:r w:rsidR="00E731A9">
        <w:rPr>
          <w:rFonts w:cs="Arial"/>
          <w:sz w:val="22"/>
        </w:rPr>
        <w:instrText xml:space="preserve"> \* MERGEFORMAT </w:instrText>
      </w:r>
      <w:r w:rsidR="00877379" w:rsidRPr="00E731A9">
        <w:rPr>
          <w:rFonts w:cs="Arial"/>
          <w:sz w:val="22"/>
        </w:rPr>
      </w:r>
      <w:r w:rsidR="00877379" w:rsidRPr="00E731A9">
        <w:rPr>
          <w:rFonts w:cs="Arial"/>
          <w:sz w:val="22"/>
        </w:rPr>
        <w:fldChar w:fldCharType="separate"/>
      </w:r>
      <w:r w:rsidR="00256A82">
        <w:rPr>
          <w:rFonts w:cs="Arial"/>
          <w:sz w:val="22"/>
        </w:rPr>
        <w:t>[4]</w:t>
      </w:r>
      <w:r w:rsidR="00877379" w:rsidRPr="00E731A9">
        <w:rPr>
          <w:rFonts w:cs="Arial"/>
          <w:sz w:val="22"/>
        </w:rPr>
        <w:fldChar w:fldCharType="end"/>
      </w:r>
      <w:r w:rsidRPr="00E731A9">
        <w:rPr>
          <w:rFonts w:cs="Arial"/>
          <w:sz w:val="22"/>
        </w:rPr>
        <w:t>, and specified the first low-complexity UE category 0 (Cat-0). Cat-0 supports a reduced peak data rate of 1 Mbps, single antenna and half</w:t>
      </w:r>
      <w:r w:rsidRPr="00E731A9">
        <w:rPr>
          <w:rFonts w:cs="Arial"/>
          <w:sz w:val="22"/>
        </w:rPr>
        <w:noBreakHyphen/>
        <w:t>duplex frequency</w:t>
      </w:r>
      <w:r w:rsidRPr="00E731A9">
        <w:rPr>
          <w:rFonts w:cs="Arial"/>
          <w:sz w:val="22"/>
        </w:rPr>
        <w:noBreakHyphen/>
        <w:t>division duplex (HD</w:t>
      </w:r>
      <w:r w:rsidRPr="00E731A9">
        <w:rPr>
          <w:rFonts w:cs="Arial"/>
          <w:sz w:val="22"/>
        </w:rPr>
        <w:noBreakHyphen/>
        <w:t>FDD) operation.</w:t>
      </w:r>
    </w:p>
    <w:p w14:paraId="7D7229CC" w14:textId="775FDC4F" w:rsidR="0041428E" w:rsidRPr="00E731A9" w:rsidRDefault="0041428E" w:rsidP="0041428E">
      <w:pPr>
        <w:pStyle w:val="BodyText"/>
        <w:rPr>
          <w:rFonts w:cs="Arial"/>
          <w:sz w:val="22"/>
        </w:rPr>
      </w:pPr>
      <w:r w:rsidRPr="00E731A9">
        <w:rPr>
          <w:rFonts w:cs="Arial"/>
          <w:sz w:val="22"/>
        </w:rPr>
        <w:t>In</w:t>
      </w:r>
      <w:r w:rsidRPr="00E731A9" w:rsidDel="001C7642">
        <w:rPr>
          <w:rFonts w:cs="Arial"/>
          <w:sz w:val="22"/>
        </w:rPr>
        <w:t xml:space="preserve"> </w:t>
      </w:r>
      <w:r w:rsidR="003C6066">
        <w:rPr>
          <w:rFonts w:cs="Arial"/>
          <w:sz w:val="22"/>
        </w:rPr>
        <w:t>Rel-</w:t>
      </w:r>
      <w:r w:rsidRPr="00E731A9">
        <w:rPr>
          <w:rFonts w:cs="Arial"/>
          <w:sz w:val="22"/>
        </w:rPr>
        <w:t>13 the work accelerated with the introduction of the Cat-M1 UE category.</w:t>
      </w:r>
      <w:r w:rsidRPr="00E731A9" w:rsidDel="006D21F4">
        <w:rPr>
          <w:rFonts w:cs="Arial"/>
          <w:sz w:val="22"/>
        </w:rPr>
        <w:t xml:space="preserve"> </w:t>
      </w:r>
      <w:r w:rsidRPr="00E731A9">
        <w:rPr>
          <w:rFonts w:cs="Arial"/>
          <w:sz w:val="22"/>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2BB4371B" w14:textId="265C564F" w:rsidR="0041428E" w:rsidRPr="0041428E" w:rsidRDefault="0041428E" w:rsidP="00256A82">
      <w:pPr>
        <w:pStyle w:val="BodyText"/>
        <w:rPr>
          <w:lang w:eastAsia="en-GB"/>
        </w:rPr>
      </w:pPr>
      <w:r w:rsidRPr="00E731A9">
        <w:rPr>
          <w:rFonts w:cs="Arial"/>
          <w:sz w:val="22"/>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D03B108" w14:textId="0886D88F" w:rsidR="0041428E" w:rsidRPr="00E731A9" w:rsidRDefault="00877379" w:rsidP="0041428E">
      <w:pPr>
        <w:pStyle w:val="BodyText"/>
        <w:rPr>
          <w:rFonts w:cs="Arial"/>
          <w:sz w:val="22"/>
        </w:rPr>
      </w:pPr>
      <w:proofErr w:type="spellStart"/>
      <w:r w:rsidRPr="00E731A9">
        <w:rPr>
          <w:rFonts w:cs="Arial"/>
          <w:sz w:val="22"/>
        </w:rPr>
        <w:t>eMTC</w:t>
      </w:r>
      <w:proofErr w:type="spellEnd"/>
      <w:r w:rsidR="0041428E" w:rsidRPr="00E731A9">
        <w:rPr>
          <w:rFonts w:cs="Arial"/>
          <w:sz w:val="22"/>
        </w:rPr>
        <w:t xml:space="preserve"> supports a</w:t>
      </w:r>
      <w:r w:rsidR="00E26196">
        <w:rPr>
          <w:rFonts w:cs="Arial"/>
          <w:sz w:val="22"/>
        </w:rPr>
        <w:t>n MCL that is 20 d</w:t>
      </w:r>
      <w:r w:rsidR="0041428E" w:rsidRPr="00E731A9">
        <w:rPr>
          <w:rFonts w:cs="Arial"/>
          <w:sz w:val="22"/>
        </w:rPr>
        <w:t>B</w:t>
      </w:r>
      <w:r w:rsidR="00E26196">
        <w:rPr>
          <w:rFonts w:cs="Arial"/>
          <w:sz w:val="22"/>
        </w:rPr>
        <w:t xml:space="preserve"> larger than</w:t>
      </w:r>
      <w:r w:rsidR="0041428E" w:rsidRPr="00E731A9">
        <w:rPr>
          <w:rFonts w:cs="Arial"/>
          <w:sz w:val="22"/>
        </w:rPr>
        <w:t xml:space="preserve"> </w:t>
      </w:r>
      <w:r w:rsidR="00E26196">
        <w:rPr>
          <w:rFonts w:cs="Arial"/>
          <w:sz w:val="22"/>
        </w:rPr>
        <w:t xml:space="preserve">the </w:t>
      </w:r>
      <w:r w:rsidR="0041428E" w:rsidRPr="00E731A9">
        <w:rPr>
          <w:rFonts w:cs="Arial"/>
          <w:sz w:val="22"/>
        </w:rPr>
        <w:t>normal</w:t>
      </w:r>
      <w:r w:rsidR="00E26196">
        <w:rPr>
          <w:rFonts w:cs="Arial"/>
          <w:sz w:val="22"/>
        </w:rPr>
        <w:t xml:space="preserve"> MCL of</w:t>
      </w:r>
      <w:r w:rsidR="0041428E" w:rsidRPr="00E731A9">
        <w:rPr>
          <w:rFonts w:cs="Arial"/>
          <w:sz w:val="22"/>
        </w:rPr>
        <w:t xml:space="preserve"> LTE. This is achieved mainly through time repetition and a relaxed acquisition time of the physical channels and signals. The primary and secondary synchronization signals (PSS and SSS) are fully reused from LTE and extended coverage is achieved by means of an increased acquisition time.</w:t>
      </w:r>
    </w:p>
    <w:p w14:paraId="71AB7338" w14:textId="5B979F2C" w:rsidR="0041428E" w:rsidRPr="00E731A9" w:rsidRDefault="0041428E" w:rsidP="0041428E">
      <w:pPr>
        <w:pStyle w:val="BodyText"/>
        <w:rPr>
          <w:rFonts w:cs="Arial"/>
          <w:sz w:val="22"/>
        </w:rPr>
      </w:pPr>
      <w:r w:rsidRPr="00E731A9">
        <w:rPr>
          <w:rFonts w:cs="Arial"/>
          <w:sz w:val="22"/>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3CA5A9D1" w14:textId="3393A83A" w:rsidR="0041428E" w:rsidRPr="00E731A9" w:rsidRDefault="0041428E" w:rsidP="0041428E">
      <w:pPr>
        <w:pStyle w:val="BodyText"/>
        <w:rPr>
          <w:rFonts w:cs="Arial"/>
          <w:sz w:val="22"/>
        </w:rPr>
      </w:pPr>
      <w:r w:rsidRPr="00E731A9">
        <w:rPr>
          <w:rFonts w:cs="Arial"/>
          <w:sz w:val="22"/>
        </w:rPr>
        <w:t xml:space="preserve">In LTE Releases 14 and 15 </w:t>
      </w:r>
      <w:proofErr w:type="spellStart"/>
      <w:r w:rsidR="00877379" w:rsidRPr="00E731A9">
        <w:rPr>
          <w:rFonts w:cs="Arial"/>
          <w:sz w:val="22"/>
        </w:rPr>
        <w:t>e</w:t>
      </w:r>
      <w:r w:rsidR="00135806" w:rsidRPr="00E731A9">
        <w:rPr>
          <w:rFonts w:cs="Arial"/>
          <w:sz w:val="22"/>
        </w:rPr>
        <w:t>MTC</w:t>
      </w:r>
      <w:proofErr w:type="spellEnd"/>
      <w:r w:rsidRPr="00E731A9">
        <w:rPr>
          <w:rFonts w:cs="Arial"/>
          <w:sz w:val="22"/>
        </w:rPr>
        <w:t xml:space="preserve"> was further enhanced to support a more diversified set of applications and services. A new UE category Cat-M2 was e.g. specified. </w:t>
      </w:r>
      <w:r w:rsidR="002D208E" w:rsidRPr="00E731A9">
        <w:rPr>
          <w:sz w:val="22"/>
        </w:rPr>
        <w:t xml:space="preserve">To support power efficient UE operation, </w:t>
      </w:r>
      <w:r w:rsidR="002D208E">
        <w:rPr>
          <w:sz w:val="22"/>
        </w:rPr>
        <w:t xml:space="preserve">from Rel-15 </w:t>
      </w:r>
      <w:proofErr w:type="spellStart"/>
      <w:r w:rsidR="002D208E">
        <w:rPr>
          <w:sz w:val="22"/>
        </w:rPr>
        <w:t>eMTC</w:t>
      </w:r>
      <w:proofErr w:type="spellEnd"/>
      <w:r w:rsidR="002D208E" w:rsidRPr="00E731A9">
        <w:rPr>
          <w:sz w:val="22"/>
        </w:rPr>
        <w:t xml:space="preserve"> supports uplink transmissions using </w:t>
      </w:r>
      <w:r w:rsidR="002D208E">
        <w:rPr>
          <w:sz w:val="22"/>
        </w:rPr>
        <w:t>2-of-3</w:t>
      </w:r>
      <w:r w:rsidR="002D208E" w:rsidRPr="00E731A9">
        <w:rPr>
          <w:sz w:val="22"/>
        </w:rPr>
        <w:t>, 3, 6 or 12 sub-carriers.</w:t>
      </w:r>
      <w:r w:rsidR="002D208E">
        <w:rPr>
          <w:sz w:val="22"/>
        </w:rPr>
        <w:t xml:space="preserve"> </w:t>
      </w:r>
      <w:r w:rsidRPr="00E731A9">
        <w:rPr>
          <w:rFonts w:cs="Arial"/>
          <w:sz w:val="22"/>
        </w:rPr>
        <w:t xml:space="preserve">The performance of </w:t>
      </w:r>
      <w:proofErr w:type="spellStart"/>
      <w:r w:rsidR="00135806" w:rsidRPr="00E731A9">
        <w:rPr>
          <w:rFonts w:cs="Arial"/>
          <w:sz w:val="22"/>
        </w:rPr>
        <w:t>eMTC</w:t>
      </w:r>
      <w:proofErr w:type="spellEnd"/>
      <w:r w:rsidRPr="00E731A9">
        <w:rPr>
          <w:rFonts w:cs="Arial"/>
          <w:sz w:val="22"/>
        </w:rPr>
        <w:t xml:space="preserve"> </w:t>
      </w:r>
      <w:r w:rsidR="003C6066">
        <w:rPr>
          <w:rFonts w:cs="Arial"/>
          <w:sz w:val="22"/>
        </w:rPr>
        <w:t>Rel-</w:t>
      </w:r>
      <w:r w:rsidRPr="00E731A9">
        <w:rPr>
          <w:rFonts w:cs="Arial"/>
          <w:sz w:val="22"/>
        </w:rPr>
        <w:t>15 meets the IMT-2020 5G requirements for the massive IoT use case.</w:t>
      </w:r>
    </w:p>
    <w:p w14:paraId="5D389DA1" w14:textId="7F2DBE09" w:rsidR="0041428E" w:rsidRPr="00E731A9" w:rsidRDefault="0041428E" w:rsidP="00135806">
      <w:pPr>
        <w:pStyle w:val="BodyText"/>
        <w:rPr>
          <w:sz w:val="22"/>
        </w:rPr>
      </w:pPr>
      <w:r w:rsidRPr="00E731A9">
        <w:rPr>
          <w:sz w:val="22"/>
        </w:rPr>
        <w:t xml:space="preserve">The work in 3GPP on </w:t>
      </w:r>
      <w:proofErr w:type="spellStart"/>
      <w:r w:rsidR="00135806" w:rsidRPr="00E731A9">
        <w:rPr>
          <w:sz w:val="22"/>
        </w:rPr>
        <w:t>eMTC</w:t>
      </w:r>
      <w:proofErr w:type="spellEnd"/>
      <w:r w:rsidRPr="00E731A9">
        <w:rPr>
          <w:sz w:val="22"/>
        </w:rPr>
        <w:t xml:space="preserve"> </w:t>
      </w:r>
      <w:r w:rsidR="00135806" w:rsidRPr="00E731A9">
        <w:rPr>
          <w:sz w:val="22"/>
        </w:rPr>
        <w:t>was</w:t>
      </w:r>
      <w:r w:rsidRPr="00E731A9">
        <w:rPr>
          <w:sz w:val="22"/>
        </w:rPr>
        <w:t xml:space="preserve"> continued in </w:t>
      </w:r>
      <w:r w:rsidR="003C6066">
        <w:rPr>
          <w:sz w:val="22"/>
        </w:rPr>
        <w:t>Rel-</w:t>
      </w:r>
      <w:r w:rsidRPr="00E731A9">
        <w:rPr>
          <w:sz w:val="22"/>
        </w:rPr>
        <w:t xml:space="preserve">16 and is </w:t>
      </w:r>
      <w:r w:rsidR="00135806" w:rsidRPr="00E731A9">
        <w:rPr>
          <w:sz w:val="22"/>
        </w:rPr>
        <w:t>further evolved</w:t>
      </w:r>
      <w:r w:rsidRPr="00E731A9">
        <w:rPr>
          <w:sz w:val="22"/>
        </w:rPr>
        <w:t xml:space="preserve"> also in </w:t>
      </w:r>
      <w:r w:rsidR="003C6066">
        <w:rPr>
          <w:sz w:val="22"/>
        </w:rPr>
        <w:t>Rel-</w:t>
      </w:r>
      <w:r w:rsidRPr="00E731A9">
        <w:rPr>
          <w:sz w:val="22"/>
        </w:rPr>
        <w:t>17.</w:t>
      </w:r>
    </w:p>
    <w:p w14:paraId="19DA4752" w14:textId="32638DF1" w:rsidR="0041428E" w:rsidRDefault="0041428E" w:rsidP="0041428E">
      <w:pPr>
        <w:pStyle w:val="Heading2"/>
      </w:pPr>
      <w:r>
        <w:t>2.</w:t>
      </w:r>
      <w:r w:rsidR="00135806">
        <w:t>2</w:t>
      </w:r>
      <w:r>
        <w:tab/>
        <w:t>NB-IoT</w:t>
      </w:r>
    </w:p>
    <w:p w14:paraId="0954507A" w14:textId="3E802C1A" w:rsidR="00135806" w:rsidRPr="00E731A9" w:rsidRDefault="00135806" w:rsidP="00135806">
      <w:pPr>
        <w:pStyle w:val="BodyText"/>
        <w:rPr>
          <w:rFonts w:cs="Arial"/>
          <w:sz w:val="22"/>
        </w:rPr>
      </w:pPr>
      <w:r w:rsidRPr="00E731A9">
        <w:rPr>
          <w:rFonts w:cs="Arial"/>
          <w:sz w:val="22"/>
        </w:rPr>
        <w:t>The work on NB</w:t>
      </w:r>
      <w:r w:rsidR="19AF2A63" w:rsidRPr="00E731A9">
        <w:rPr>
          <w:rFonts w:cs="Arial"/>
          <w:sz w:val="22"/>
        </w:rPr>
        <w:t>-</w:t>
      </w:r>
      <w:r w:rsidRPr="00E731A9">
        <w:rPr>
          <w:rFonts w:cs="Arial"/>
          <w:sz w:val="22"/>
        </w:rPr>
        <w:t>IoT</w:t>
      </w:r>
      <w:r w:rsidRPr="00E731A9">
        <w:rPr>
          <w:rFonts w:cs="Arial"/>
          <w:sz w:val="22"/>
        </w:rPr>
        <w:noBreakHyphen/>
        <w:t xml:space="preserve"> started in Rel-13 </w:t>
      </w:r>
      <w:r w:rsidRPr="00E731A9">
        <w:rPr>
          <w:rFonts w:cs="Arial"/>
          <w:sz w:val="22"/>
        </w:rPr>
        <w:fldChar w:fldCharType="begin"/>
      </w:r>
      <w:r w:rsidRPr="00E731A9">
        <w:rPr>
          <w:rFonts w:cs="Arial"/>
          <w:sz w:val="22"/>
        </w:rPr>
        <w:instrText xml:space="preserve"> REF _Ref51243406 \r \h </w:instrText>
      </w:r>
      <w:r w:rsidR="00E731A9">
        <w:rPr>
          <w:rFonts w:cs="Arial"/>
          <w:sz w:val="22"/>
        </w:rPr>
        <w:instrText xml:space="preserve"> \* MERGEFORMAT </w:instrText>
      </w:r>
      <w:r w:rsidRPr="00E731A9">
        <w:rPr>
          <w:rFonts w:cs="Arial"/>
          <w:sz w:val="22"/>
        </w:rPr>
      </w:r>
      <w:r w:rsidRPr="00E731A9">
        <w:rPr>
          <w:rFonts w:cs="Arial"/>
          <w:sz w:val="22"/>
        </w:rPr>
        <w:fldChar w:fldCharType="separate"/>
      </w:r>
      <w:r w:rsidR="00256A82">
        <w:rPr>
          <w:rFonts w:cs="Arial"/>
          <w:sz w:val="22"/>
        </w:rPr>
        <w:t>[5]</w:t>
      </w:r>
      <w:r w:rsidRPr="00E731A9">
        <w:rPr>
          <w:rFonts w:cs="Arial"/>
          <w:sz w:val="22"/>
        </w:rPr>
        <w:fldChar w:fldCharType="end"/>
      </w:r>
      <w:r w:rsidRPr="00E731A9">
        <w:rPr>
          <w:rFonts w:cs="Arial"/>
          <w:sz w:val="22"/>
        </w:rPr>
        <w:t xml:space="preserve">. Compared to </w:t>
      </w:r>
      <w:proofErr w:type="spellStart"/>
      <w:r w:rsidRPr="00E731A9">
        <w:rPr>
          <w:rFonts w:cs="Arial"/>
          <w:sz w:val="22"/>
        </w:rPr>
        <w:t>eMTC</w:t>
      </w:r>
      <w:proofErr w:type="spellEnd"/>
      <w:r w:rsidRPr="00E731A9">
        <w:rPr>
          <w:rFonts w:cs="Arial"/>
          <w:sz w:val="22"/>
        </w:rPr>
        <w:t xml:space="preserve"> the target was even lower UE complexity, and a design facilitating high deployment flexibility.</w:t>
      </w:r>
    </w:p>
    <w:p w14:paraId="029FFB9E" w14:textId="1406953A" w:rsidR="00135806" w:rsidRPr="00E731A9" w:rsidRDefault="00135806" w:rsidP="00135806">
      <w:pPr>
        <w:pStyle w:val="BodyText"/>
        <w:rPr>
          <w:sz w:val="22"/>
        </w:rPr>
      </w:pPr>
      <w:r w:rsidRPr="00E731A9">
        <w:rPr>
          <w:rFonts w:cs="Arial"/>
          <w:sz w:val="22"/>
        </w:rPr>
        <w:t>This resulted in a system design that in short can be described as a narrowband version of LTE. A NB</w:t>
      </w:r>
      <w:r w:rsidR="5E2499C8" w:rsidRPr="00E731A9">
        <w:rPr>
          <w:rFonts w:cs="Arial"/>
          <w:sz w:val="22"/>
        </w:rPr>
        <w:t>-</w:t>
      </w:r>
      <w:r w:rsidRPr="00E731A9">
        <w:rPr>
          <w:rFonts w:cs="Arial"/>
          <w:sz w:val="22"/>
        </w:rPr>
        <w:t>IoT</w:t>
      </w:r>
      <w:r w:rsidR="00E26196">
        <w:rPr>
          <w:rFonts w:cs="Arial"/>
          <w:sz w:val="22"/>
        </w:rPr>
        <w:t xml:space="preserve"> downlink</w:t>
      </w:r>
      <w:r w:rsidRPr="00E731A9">
        <w:rPr>
          <w:rFonts w:cs="Arial"/>
          <w:sz w:val="22"/>
        </w:rPr>
        <w:t xml:space="preserve"> carrier</w:t>
      </w:r>
      <w:r w:rsidRPr="00E731A9">
        <w:rPr>
          <w:sz w:val="22"/>
        </w:rPr>
        <w:t xml:space="preserve"> is defined by 12 OFDM sub-carriers, each of 15 kHz, giving a total baseband bandwidth of 180 kHz. This design gives NB</w:t>
      </w:r>
      <w:r w:rsidR="00D82757" w:rsidRPr="00E731A9">
        <w:rPr>
          <w:sz w:val="22"/>
        </w:rPr>
        <w:t>-</w:t>
      </w:r>
      <w:r w:rsidRPr="00E731A9">
        <w:rPr>
          <w:sz w:val="22"/>
        </w:rPr>
        <w:t xml:space="preserve">IoT a high deployment flexibility: The system can operate standalone, in the </w:t>
      </w:r>
      <w:proofErr w:type="spellStart"/>
      <w:r w:rsidRPr="00E731A9">
        <w:rPr>
          <w:sz w:val="22"/>
        </w:rPr>
        <w:t>guardband</w:t>
      </w:r>
      <w:proofErr w:type="spellEnd"/>
      <w:r w:rsidRPr="00E731A9">
        <w:rPr>
          <w:sz w:val="22"/>
        </w:rPr>
        <w:t xml:space="preserve"> of an LTE carrier or within an LTE carrier. </w:t>
      </w:r>
    </w:p>
    <w:p w14:paraId="4E847EB7" w14:textId="0578DACC" w:rsidR="00135806" w:rsidRPr="00E731A9" w:rsidRDefault="00135806" w:rsidP="00135806">
      <w:pPr>
        <w:pStyle w:val="BodyText"/>
        <w:rPr>
          <w:sz w:val="22"/>
        </w:rPr>
      </w:pPr>
      <w:r w:rsidRPr="00E731A9">
        <w:rPr>
          <w:sz w:val="22"/>
        </w:rPr>
        <w:t>NB</w:t>
      </w:r>
      <w:r w:rsidR="75F9481D" w:rsidRPr="00E731A9">
        <w:rPr>
          <w:sz w:val="22"/>
        </w:rPr>
        <w:t>-</w:t>
      </w:r>
      <w:r w:rsidRPr="00E731A9">
        <w:rPr>
          <w:sz w:val="22"/>
        </w:rPr>
        <w:t xml:space="preserve">IoT does just as </w:t>
      </w:r>
      <w:proofErr w:type="spellStart"/>
      <w:r w:rsidRPr="00E731A9">
        <w:rPr>
          <w:sz w:val="22"/>
        </w:rPr>
        <w:t>eMTC</w:t>
      </w:r>
      <w:proofErr w:type="spellEnd"/>
      <w:r w:rsidRPr="00E731A9">
        <w:rPr>
          <w:sz w:val="22"/>
        </w:rPr>
        <w:t xml:space="preserve"> make use of increased acquisition times and time repetitions to extend the system coverage. The repetitions </w:t>
      </w:r>
      <w:proofErr w:type="gramStart"/>
      <w:r w:rsidRPr="00E731A9">
        <w:rPr>
          <w:sz w:val="22"/>
        </w:rPr>
        <w:t>can be seen as</w:t>
      </w:r>
      <w:proofErr w:type="gramEnd"/>
      <w:r w:rsidRPr="00E731A9">
        <w:rPr>
          <w:sz w:val="22"/>
        </w:rPr>
        <w:t xml:space="preserve"> a third level of retransmissions added at the physical layer as a complement to MAC HARQ and RLC ARQ.  </w:t>
      </w:r>
    </w:p>
    <w:p w14:paraId="4BFE13AA" w14:textId="18E063D2" w:rsidR="00135806" w:rsidRPr="00E731A9" w:rsidRDefault="00135806" w:rsidP="00135806">
      <w:pPr>
        <w:pStyle w:val="BodyText"/>
        <w:rPr>
          <w:sz w:val="22"/>
        </w:rPr>
      </w:pPr>
      <w:r w:rsidRPr="00E731A9">
        <w:rPr>
          <w:sz w:val="22"/>
        </w:rPr>
        <w:t>NB</w:t>
      </w:r>
      <w:r w:rsidR="7D60A2B9" w:rsidRPr="00E731A9">
        <w:rPr>
          <w:sz w:val="22"/>
        </w:rPr>
        <w:t>-</w:t>
      </w:r>
      <w:r w:rsidRPr="00E731A9">
        <w:rPr>
          <w:sz w:val="22"/>
        </w:rPr>
        <w:t>IoT supports anchor and non</w:t>
      </w:r>
      <w:r w:rsidR="1B00E912" w:rsidRPr="00E731A9">
        <w:rPr>
          <w:sz w:val="22"/>
        </w:rPr>
        <w:t>-</w:t>
      </w:r>
      <w:r w:rsidRPr="00E731A9">
        <w:rPr>
          <w:sz w:val="22"/>
        </w:rPr>
        <w:t>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w:t>
      </w:r>
      <w:r w:rsidR="5F087903" w:rsidRPr="00E731A9">
        <w:rPr>
          <w:sz w:val="22"/>
        </w:rPr>
        <w:t>-</w:t>
      </w:r>
      <w:r w:rsidRPr="00E731A9">
        <w:rPr>
          <w:sz w:val="22"/>
        </w:rPr>
        <w:t xml:space="preserve">anchor carriers. These support control and data transmissions and since </w:t>
      </w:r>
      <w:r w:rsidR="003C6066">
        <w:rPr>
          <w:sz w:val="22"/>
        </w:rPr>
        <w:t>Rel-</w:t>
      </w:r>
      <w:r w:rsidRPr="00E731A9">
        <w:rPr>
          <w:sz w:val="22"/>
        </w:rPr>
        <w:t>14 mobile terminated and originated system access.</w:t>
      </w:r>
    </w:p>
    <w:p w14:paraId="21D5B1D4" w14:textId="72506F85" w:rsidR="00A91BA7" w:rsidRPr="00E731A9" w:rsidRDefault="00135806" w:rsidP="00D75870">
      <w:pPr>
        <w:pStyle w:val="BodyText"/>
        <w:rPr>
          <w:sz w:val="22"/>
        </w:rPr>
      </w:pPr>
      <w:r w:rsidRPr="00E731A9">
        <w:rPr>
          <w:sz w:val="22"/>
        </w:rPr>
        <w:t>To support power efficient UE operation, NB</w:t>
      </w:r>
      <w:r w:rsidR="344A40A8" w:rsidRPr="00E731A9">
        <w:rPr>
          <w:sz w:val="22"/>
        </w:rPr>
        <w:t>-</w:t>
      </w:r>
      <w:r w:rsidRPr="00E731A9">
        <w:rPr>
          <w:sz w:val="22"/>
        </w:rPr>
        <w:t xml:space="preserve">IoT supports uplink transmissions using 1, 3, 6 or 12 sub-carriers. The single-subcarrier modulation supports a close to constant-envelope waveform </w:t>
      </w:r>
      <w:r w:rsidRPr="00E731A9">
        <w:rPr>
          <w:sz w:val="22"/>
        </w:rPr>
        <w:lastRenderedPageBreak/>
        <w:t>which enables power efficient operation. The small scheduling granularity also supports a high uplink capacity when the system is operating in extended coverage.</w:t>
      </w:r>
    </w:p>
    <w:p w14:paraId="78E612CF" w14:textId="2F951B6C" w:rsidR="00E411DE" w:rsidRPr="00CE0424" w:rsidRDefault="00D75870" w:rsidP="00E411DE">
      <w:pPr>
        <w:pStyle w:val="Heading1"/>
      </w:pPr>
      <w:r>
        <w:t>3</w:t>
      </w:r>
      <w:r w:rsidR="00E411DE">
        <w:tab/>
        <w:t>Scenarios</w:t>
      </w:r>
      <w:r w:rsidR="005F7FF0">
        <w:t xml:space="preserve"> </w:t>
      </w:r>
      <w:r w:rsidR="00E411DE">
        <w:t>for IoT NTN</w:t>
      </w:r>
    </w:p>
    <w:p w14:paraId="2D6C8C42" w14:textId="2D1890C8" w:rsidR="00E411DE" w:rsidRPr="00F302CB" w:rsidRDefault="00D75870" w:rsidP="00E411DE">
      <w:pPr>
        <w:pStyle w:val="Heading2"/>
      </w:pPr>
      <w:r>
        <w:t>3</w:t>
      </w:r>
      <w:r w:rsidR="00E411DE">
        <w:t>.1</w:t>
      </w:r>
      <w:r w:rsidR="00E411DE">
        <w:tab/>
      </w:r>
      <w:r>
        <w:t>Cellular IoT evolution for NTN</w:t>
      </w:r>
      <w:r w:rsidR="00135806">
        <w:t xml:space="preserve"> </w:t>
      </w:r>
    </w:p>
    <w:p w14:paraId="44DCDB68" w14:textId="19892244" w:rsidR="00D75870" w:rsidRPr="00E731A9" w:rsidRDefault="00D75870" w:rsidP="00CE0424">
      <w:pPr>
        <w:pStyle w:val="BodyText"/>
        <w:rPr>
          <w:sz w:val="22"/>
          <w:lang w:val="en-GB"/>
        </w:rPr>
      </w:pPr>
      <w:r w:rsidRPr="00E731A9">
        <w:rPr>
          <w:sz w:val="22"/>
          <w:lang w:val="en-GB"/>
        </w:rPr>
        <w:t xml:space="preserve">Typical uses cases for </w:t>
      </w:r>
      <w:proofErr w:type="spellStart"/>
      <w:r w:rsidRPr="00E731A9">
        <w:rPr>
          <w:sz w:val="22"/>
          <w:lang w:val="en-GB"/>
        </w:rPr>
        <w:t>eMTC</w:t>
      </w:r>
      <w:proofErr w:type="spellEnd"/>
      <w:r w:rsidRPr="00E731A9">
        <w:rPr>
          <w:sz w:val="22"/>
          <w:lang w:val="en-GB"/>
        </w:rPr>
        <w:t xml:space="preserve"> include connected vehicles, wearable devices, trackers and alarm panels. Most common use cases of NB-IoT include utility meters and sensors. </w:t>
      </w:r>
      <w:proofErr w:type="spellStart"/>
      <w:r w:rsidRPr="00E731A9">
        <w:rPr>
          <w:sz w:val="22"/>
          <w:lang w:val="en-GB"/>
        </w:rPr>
        <w:t>eMTC</w:t>
      </w:r>
      <w:proofErr w:type="spellEnd"/>
      <w:r w:rsidRPr="00E731A9">
        <w:rPr>
          <w:sz w:val="22"/>
          <w:lang w:val="en-GB"/>
        </w:rPr>
        <w:t xml:space="preserve"> </w:t>
      </w:r>
      <w:r w:rsidR="00E26196">
        <w:rPr>
          <w:sz w:val="22"/>
          <w:lang w:val="en-GB"/>
        </w:rPr>
        <w:t xml:space="preserve">and NB-IoT are </w:t>
      </w:r>
      <w:r w:rsidRPr="00E731A9">
        <w:rPr>
          <w:sz w:val="22"/>
          <w:lang w:val="en-GB"/>
        </w:rPr>
        <w:t xml:space="preserve">suitable for different applications. For example, if one has an oil tank in a basement of a building that needs a sensor to check its level from time to time, NB-IoT will be the choice (the elevator servicing that basement, however, will use </w:t>
      </w:r>
      <w:proofErr w:type="spellStart"/>
      <w:r w:rsidRPr="00E731A9">
        <w:rPr>
          <w:sz w:val="22"/>
          <w:lang w:val="en-GB"/>
        </w:rPr>
        <w:t>eMTC</w:t>
      </w:r>
      <w:proofErr w:type="spellEnd"/>
      <w:r w:rsidRPr="00E731A9">
        <w:rPr>
          <w:sz w:val="22"/>
          <w:lang w:val="en-GB"/>
        </w:rPr>
        <w:t xml:space="preserve">). From an operator perspective, NB-IoT also creates more deployment flexibility due to guard-band deployment. If the operator’s available frequency assets allow, NB-IoT can also deployed as stand-alone access. </w:t>
      </w:r>
    </w:p>
    <w:p w14:paraId="799A3932" w14:textId="01262C1B" w:rsidR="00D75870" w:rsidRPr="00E731A9" w:rsidRDefault="00D75870" w:rsidP="00CE0424">
      <w:pPr>
        <w:pStyle w:val="BodyText"/>
        <w:rPr>
          <w:sz w:val="22"/>
          <w:lang w:val="en-GB"/>
        </w:rPr>
      </w:pPr>
      <w:proofErr w:type="spellStart"/>
      <w:r w:rsidRPr="00E731A9">
        <w:rPr>
          <w:sz w:val="22"/>
          <w:lang w:val="en-GB"/>
        </w:rPr>
        <w:t>eMTC</w:t>
      </w:r>
      <w:proofErr w:type="spellEnd"/>
      <w:r w:rsidRPr="00E731A9">
        <w:rPr>
          <w:sz w:val="22"/>
          <w:lang w:val="en-GB"/>
        </w:rPr>
        <w:t xml:space="preserve"> and NB-IoT are complementary technologies that can address different types of IoT use cases based on their unique capabilities. </w:t>
      </w:r>
      <w:r w:rsidR="00E1287F">
        <w:rPr>
          <w:sz w:val="22"/>
          <w:lang w:val="en-GB"/>
        </w:rPr>
        <w:t>N</w:t>
      </w:r>
      <w:r w:rsidR="00E1287F" w:rsidRPr="00E1287F">
        <w:rPr>
          <w:sz w:val="22"/>
          <w:lang w:val="en-GB"/>
        </w:rPr>
        <w:t xml:space="preserve">B-IoT supports ultra-low complexity devices with very narrow bandwidth, while </w:t>
      </w:r>
      <w:proofErr w:type="spellStart"/>
      <w:r w:rsidR="00E1287F">
        <w:rPr>
          <w:sz w:val="22"/>
          <w:lang w:val="en-GB"/>
        </w:rPr>
        <w:t>eMTC</w:t>
      </w:r>
      <w:proofErr w:type="spellEnd"/>
      <w:r w:rsidR="00E1287F" w:rsidRPr="00E1287F">
        <w:rPr>
          <w:sz w:val="22"/>
          <w:lang w:val="en-GB"/>
        </w:rPr>
        <w:t xml:space="preserve"> can achieve higher data rates, more accurate device positioning, and supports voice calls and connected mode mobility.</w:t>
      </w:r>
      <w:r w:rsidR="00E1287F">
        <w:rPr>
          <w:sz w:val="22"/>
          <w:lang w:val="en-GB"/>
        </w:rPr>
        <w:t xml:space="preserve"> </w:t>
      </w:r>
      <w:r w:rsidRPr="00E731A9">
        <w:rPr>
          <w:sz w:val="22"/>
          <w:lang w:val="en-GB"/>
        </w:rPr>
        <w:t>Both are considered future-proof and are viewed as 5G technologies. They can efficiently co-exist with 5G NR in the same spectrum and already fulfil all 5G massive MTC requirements.</w:t>
      </w:r>
    </w:p>
    <w:p w14:paraId="06379E06" w14:textId="2F0364EF" w:rsidR="00EF31EC" w:rsidRPr="00E731A9" w:rsidRDefault="00EF31EC" w:rsidP="00CE0424">
      <w:pPr>
        <w:pStyle w:val="BodyText"/>
        <w:rPr>
          <w:sz w:val="22"/>
          <w:lang w:val="en-GB"/>
        </w:rPr>
      </w:pPr>
      <w:r w:rsidRPr="00E731A9">
        <w:rPr>
          <w:sz w:val="22"/>
          <w:lang w:val="en-GB"/>
        </w:rPr>
        <w:t>The approved Rel-17 IoT NTN mentions LEO and GEO, but not other NTN systems such as HAPS/HIBS and A2G (which are mentioned in the Rel-17 NR NTN WI). With this observation, it is our understanding that the focused systems of Rel-17 IoT NTN are LEO and GEO.</w:t>
      </w:r>
    </w:p>
    <w:p w14:paraId="28E08208" w14:textId="02405099" w:rsidR="00CB5BFE" w:rsidRPr="00E731A9" w:rsidRDefault="00CB5BFE" w:rsidP="00CE0424">
      <w:pPr>
        <w:pStyle w:val="BodyText"/>
        <w:rPr>
          <w:sz w:val="22"/>
          <w:lang w:val="en-GB"/>
        </w:rPr>
      </w:pPr>
      <w:r w:rsidRPr="00E731A9">
        <w:rPr>
          <w:sz w:val="22"/>
          <w:lang w:val="en-GB"/>
        </w:rPr>
        <w:t xml:space="preserve">Additionally, the Rel-17 IoT NTN should focus on essential adaptations to minimize additional network and UE complexity and benefit from the economy of scale of the existing IoT ecosystem. This also means that the enhancements should be limited to adapting </w:t>
      </w:r>
      <w:proofErr w:type="spellStart"/>
      <w:r w:rsidRPr="00E731A9">
        <w:rPr>
          <w:sz w:val="22"/>
          <w:lang w:val="en-GB"/>
        </w:rPr>
        <w:t>eMTC</w:t>
      </w:r>
      <w:proofErr w:type="spellEnd"/>
      <w:r w:rsidRPr="00E731A9">
        <w:rPr>
          <w:sz w:val="22"/>
          <w:lang w:val="en-GB"/>
        </w:rPr>
        <w:t xml:space="preserve"> and NB-IoT to NTN, while generic enhancements motivated by non-NTN are outside the scope.</w:t>
      </w:r>
    </w:p>
    <w:p w14:paraId="6DBED234" w14:textId="3CE2387E" w:rsidR="00D75870" w:rsidRPr="00E731A9" w:rsidRDefault="00E55576" w:rsidP="00CE0424">
      <w:pPr>
        <w:pStyle w:val="BodyText"/>
        <w:rPr>
          <w:sz w:val="22"/>
          <w:lang w:val="en-GB"/>
        </w:rPr>
      </w:pPr>
      <w:r w:rsidRPr="00E731A9">
        <w:rPr>
          <w:sz w:val="22"/>
          <w:lang w:val="en-GB"/>
        </w:rPr>
        <w:t>Lastly, the IoT NTN should support connectivity to EPC</w:t>
      </w:r>
      <w:r w:rsidR="003C67C5">
        <w:rPr>
          <w:sz w:val="22"/>
          <w:lang w:val="en-GB"/>
        </w:rPr>
        <w:t xml:space="preserve"> as the baseline</w:t>
      </w:r>
      <w:r w:rsidRPr="00E731A9">
        <w:rPr>
          <w:sz w:val="22"/>
          <w:lang w:val="en-GB"/>
        </w:rPr>
        <w:t>. This is a low hanging fruit and can reduce time-to-market.</w:t>
      </w:r>
    </w:p>
    <w:p w14:paraId="581EFDE5" w14:textId="1757B828" w:rsidR="00D75870" w:rsidRPr="00E1287F" w:rsidRDefault="00D75870" w:rsidP="00CE0424">
      <w:pPr>
        <w:pStyle w:val="Observation"/>
        <w:rPr>
          <w:sz w:val="22"/>
        </w:rPr>
      </w:pPr>
      <w:bookmarkStart w:id="2" w:name="_Toc54365101"/>
      <w:proofErr w:type="spellStart"/>
      <w:r w:rsidRPr="00E731A9">
        <w:rPr>
          <w:sz w:val="22"/>
          <w:lang w:val="en-GB"/>
        </w:rPr>
        <w:t>eMTC</w:t>
      </w:r>
      <w:proofErr w:type="spellEnd"/>
      <w:r w:rsidRPr="00E731A9">
        <w:rPr>
          <w:sz w:val="22"/>
          <w:lang w:val="en-GB"/>
        </w:rPr>
        <w:t xml:space="preserve"> and NB-IoT are complementary technologies that can address different types of IoT use cases based on their unique capabilities.</w:t>
      </w:r>
      <w:bookmarkEnd w:id="2"/>
    </w:p>
    <w:p w14:paraId="1B40A249" w14:textId="4E7CFF56" w:rsidR="00E1287F" w:rsidRPr="00E731A9" w:rsidRDefault="00E1287F" w:rsidP="00CE0424">
      <w:pPr>
        <w:pStyle w:val="Observation"/>
        <w:rPr>
          <w:sz w:val="22"/>
        </w:rPr>
      </w:pPr>
      <w:bookmarkStart w:id="3" w:name="_Toc54365102"/>
      <w:r>
        <w:rPr>
          <w:sz w:val="22"/>
          <w:lang w:val="en-GB"/>
        </w:rPr>
        <w:t>N</w:t>
      </w:r>
      <w:r w:rsidRPr="00E1287F">
        <w:rPr>
          <w:sz w:val="22"/>
          <w:lang w:val="en-GB"/>
        </w:rPr>
        <w:t xml:space="preserve">B-IoT supports ultra-low complexity devices with very narrow bandwidth, while </w:t>
      </w:r>
      <w:proofErr w:type="spellStart"/>
      <w:r>
        <w:rPr>
          <w:sz w:val="22"/>
          <w:lang w:val="en-GB"/>
        </w:rPr>
        <w:t>eMTC</w:t>
      </w:r>
      <w:proofErr w:type="spellEnd"/>
      <w:r w:rsidRPr="00E1287F">
        <w:rPr>
          <w:sz w:val="22"/>
          <w:lang w:val="en-GB"/>
        </w:rPr>
        <w:t xml:space="preserve"> can achieve higher data rates, more accurate device positioning, and supports voice calls and connected mode mobility.</w:t>
      </w:r>
      <w:bookmarkEnd w:id="3"/>
    </w:p>
    <w:p w14:paraId="137A8878" w14:textId="77777777" w:rsidR="00F26CBD" w:rsidRPr="00E731A9" w:rsidRDefault="00EF31EC" w:rsidP="00F26CBD">
      <w:pPr>
        <w:pStyle w:val="Observation"/>
        <w:rPr>
          <w:sz w:val="22"/>
        </w:rPr>
      </w:pPr>
      <w:bookmarkStart w:id="4" w:name="_Toc54365103"/>
      <w:r w:rsidRPr="00E731A9">
        <w:rPr>
          <w:sz w:val="22"/>
        </w:rPr>
        <w:t>The approved Rel-17 IoT NTN SID is dedicated to LEO and GEO satellite communication, while HAPS/HIBS and A2G are not in the scope.</w:t>
      </w:r>
      <w:bookmarkEnd w:id="4"/>
    </w:p>
    <w:p w14:paraId="7D63034F" w14:textId="3208B7A8" w:rsidR="00D75870" w:rsidRPr="00E731A9" w:rsidRDefault="00D75870" w:rsidP="00F26CBD">
      <w:pPr>
        <w:pStyle w:val="Observation"/>
        <w:rPr>
          <w:sz w:val="22"/>
        </w:rPr>
      </w:pPr>
      <w:bookmarkStart w:id="5" w:name="_Toc54365104"/>
      <w:r w:rsidRPr="00E731A9">
        <w:rPr>
          <w:sz w:val="22"/>
        </w:rPr>
        <w:t>Rel-17 I</w:t>
      </w:r>
      <w:r w:rsidR="00CB5BFE" w:rsidRPr="00E731A9">
        <w:rPr>
          <w:sz w:val="22"/>
        </w:rPr>
        <w:t>o</w:t>
      </w:r>
      <w:r w:rsidRPr="00E731A9">
        <w:rPr>
          <w:sz w:val="22"/>
        </w:rPr>
        <w:t xml:space="preserve">T NTN study should equally treat </w:t>
      </w:r>
      <w:proofErr w:type="spellStart"/>
      <w:r w:rsidRPr="00E731A9">
        <w:rPr>
          <w:sz w:val="22"/>
          <w:lang w:val="en-GB"/>
        </w:rPr>
        <w:t>eMTC</w:t>
      </w:r>
      <w:proofErr w:type="spellEnd"/>
      <w:r w:rsidRPr="00E731A9">
        <w:rPr>
          <w:sz w:val="22"/>
          <w:lang w:val="en-GB"/>
        </w:rPr>
        <w:t xml:space="preserve"> and NB-IoT. </w:t>
      </w:r>
      <w:r w:rsidR="00927E3E" w:rsidRPr="00E731A9">
        <w:rPr>
          <w:sz w:val="22"/>
          <w:lang w:val="en-GB"/>
        </w:rPr>
        <w:t>The study item cannot be said to be complete, if one of them is not properly studied for its feasibility for NTN.</w:t>
      </w:r>
      <w:bookmarkEnd w:id="5"/>
    </w:p>
    <w:p w14:paraId="1D575219" w14:textId="75B4F077" w:rsidR="00CB5BFE" w:rsidRPr="00E731A9" w:rsidRDefault="00CB5BFE" w:rsidP="00D75870">
      <w:pPr>
        <w:pStyle w:val="Proposal"/>
        <w:rPr>
          <w:sz w:val="22"/>
        </w:rPr>
      </w:pPr>
      <w:bookmarkStart w:id="6" w:name="_Toc54365108"/>
      <w:r w:rsidRPr="00E731A9">
        <w:rPr>
          <w:sz w:val="22"/>
        </w:rPr>
        <w:t xml:space="preserve">IoT NTN </w:t>
      </w:r>
      <w:r w:rsidR="00F26CBD" w:rsidRPr="00E731A9">
        <w:rPr>
          <w:sz w:val="22"/>
        </w:rPr>
        <w:t xml:space="preserve">study </w:t>
      </w:r>
      <w:r w:rsidRPr="00E731A9">
        <w:rPr>
          <w:sz w:val="22"/>
        </w:rPr>
        <w:t>should focus on essential adaptation</w:t>
      </w:r>
      <w:r w:rsidR="00E55576" w:rsidRPr="00E731A9">
        <w:rPr>
          <w:sz w:val="22"/>
        </w:rPr>
        <w:t xml:space="preserve">s for NTN, while </w:t>
      </w:r>
      <w:r w:rsidRPr="00E731A9">
        <w:rPr>
          <w:sz w:val="22"/>
        </w:rPr>
        <w:t>generic enhancements motivated by non-NTN are outside the scope.</w:t>
      </w:r>
      <w:bookmarkEnd w:id="6"/>
    </w:p>
    <w:p w14:paraId="3AA1486C" w14:textId="4F20AEE5" w:rsidR="00D75870" w:rsidRPr="00256A82" w:rsidRDefault="00E55576" w:rsidP="00CE0424">
      <w:pPr>
        <w:pStyle w:val="Proposal"/>
        <w:rPr>
          <w:sz w:val="22"/>
        </w:rPr>
      </w:pPr>
      <w:bookmarkStart w:id="7" w:name="_Toc54365109"/>
      <w:r w:rsidRPr="00E731A9">
        <w:rPr>
          <w:sz w:val="22"/>
        </w:rPr>
        <w:t xml:space="preserve">Rel-17 IoT NTN should </w:t>
      </w:r>
      <w:r w:rsidRPr="00E731A9">
        <w:rPr>
          <w:sz w:val="22"/>
          <w:lang w:val="en-GB"/>
        </w:rPr>
        <w:t>support connectivity to EPC</w:t>
      </w:r>
      <w:r w:rsidR="003C67C5">
        <w:rPr>
          <w:sz w:val="22"/>
          <w:lang w:val="en-GB"/>
        </w:rPr>
        <w:t xml:space="preserve"> as the baseline</w:t>
      </w:r>
      <w:r w:rsidRPr="00E731A9">
        <w:rPr>
          <w:sz w:val="22"/>
          <w:lang w:val="en-GB"/>
        </w:rPr>
        <w:t>.</w:t>
      </w:r>
      <w:bookmarkEnd w:id="7"/>
    </w:p>
    <w:p w14:paraId="0BB9E88B" w14:textId="69784129" w:rsidR="00927E3E" w:rsidRDefault="00927E3E" w:rsidP="00927E3E">
      <w:pPr>
        <w:pStyle w:val="Heading2"/>
      </w:pPr>
      <w:r>
        <w:lastRenderedPageBreak/>
        <w:t>3.2</w:t>
      </w:r>
      <w:r>
        <w:tab/>
      </w:r>
      <w:r w:rsidRPr="00927E3E">
        <w:t>Bands of interest in sub 6 GHz</w:t>
      </w:r>
    </w:p>
    <w:p w14:paraId="0BBB8FFE" w14:textId="77777777" w:rsidR="00927E3E" w:rsidRPr="00E731A9" w:rsidRDefault="00927E3E" w:rsidP="00CE0424">
      <w:pPr>
        <w:pStyle w:val="BodyText"/>
        <w:rPr>
          <w:sz w:val="22"/>
          <w:lang w:val="en-GB"/>
        </w:rPr>
      </w:pPr>
      <w:r w:rsidRPr="00E731A9">
        <w:rPr>
          <w:sz w:val="22"/>
          <w:lang w:val="en-GB"/>
        </w:rPr>
        <w:t xml:space="preserve">The study item description clearly indicates that the bands of interest for IoT NTN are in sub 6 GHz, which is a sensible target because both </w:t>
      </w:r>
      <w:proofErr w:type="spellStart"/>
      <w:r w:rsidRPr="00E731A9">
        <w:rPr>
          <w:sz w:val="22"/>
          <w:lang w:val="en-GB"/>
        </w:rPr>
        <w:t>eMTC</w:t>
      </w:r>
      <w:proofErr w:type="spellEnd"/>
      <w:r w:rsidRPr="00E731A9">
        <w:rPr>
          <w:sz w:val="22"/>
          <w:lang w:val="en-GB"/>
        </w:rPr>
        <w:t xml:space="preserve"> and NB-IoT have only been designed in sub 6 GHz. For bands above 6 GHz, they would imply significant changes required for adapting </w:t>
      </w:r>
      <w:proofErr w:type="spellStart"/>
      <w:r w:rsidRPr="00E731A9">
        <w:rPr>
          <w:sz w:val="22"/>
          <w:lang w:val="en-GB"/>
        </w:rPr>
        <w:t>eMTC</w:t>
      </w:r>
      <w:proofErr w:type="spellEnd"/>
      <w:r w:rsidRPr="00E731A9">
        <w:rPr>
          <w:sz w:val="22"/>
          <w:lang w:val="en-GB"/>
        </w:rPr>
        <w:t xml:space="preserve"> and NB-IoT for NTN, which is not a desirable evolution direction and not in the scope of this study item.</w:t>
      </w:r>
    </w:p>
    <w:p w14:paraId="59A9C747" w14:textId="667EF795" w:rsidR="00927E3E" w:rsidRPr="00E731A9" w:rsidRDefault="00927E3E" w:rsidP="00CE0424">
      <w:pPr>
        <w:pStyle w:val="BodyText"/>
        <w:rPr>
          <w:sz w:val="22"/>
          <w:lang w:val="en-GB"/>
        </w:rPr>
      </w:pPr>
      <w:r w:rsidRPr="00E731A9">
        <w:rPr>
          <w:sz w:val="22"/>
          <w:lang w:val="en-GB"/>
        </w:rPr>
        <w:t xml:space="preserve">Regarding which specific bands in sub 6 GHz are of interest, this will be a topic for RAN4 to discuss when a potential normative phase comes. For the purpose of this study item, it is </w:t>
      </w:r>
      <w:proofErr w:type="gramStart"/>
      <w:r w:rsidRPr="00E731A9">
        <w:rPr>
          <w:sz w:val="22"/>
          <w:lang w:val="en-GB"/>
        </w:rPr>
        <w:t>sufficient</w:t>
      </w:r>
      <w:proofErr w:type="gramEnd"/>
      <w:r w:rsidRPr="00E731A9">
        <w:rPr>
          <w:sz w:val="22"/>
          <w:lang w:val="en-GB"/>
        </w:rPr>
        <w:t xml:space="preserve"> to consider nominal S band</w:t>
      </w:r>
      <w:r w:rsidR="00CB5BFE" w:rsidRPr="00E731A9">
        <w:rPr>
          <w:sz w:val="22"/>
          <w:lang w:val="en-GB"/>
        </w:rPr>
        <w:t xml:space="preserve"> for various evaluation purposes, as was done during the Rel-16 NR NTN study item.</w:t>
      </w:r>
    </w:p>
    <w:p w14:paraId="4876006A" w14:textId="017B1E81" w:rsidR="00CB5BFE" w:rsidRPr="00E731A9" w:rsidRDefault="00CB5BFE" w:rsidP="00CE0424">
      <w:pPr>
        <w:pStyle w:val="BodyText"/>
        <w:rPr>
          <w:sz w:val="22"/>
          <w:lang w:val="en-GB"/>
        </w:rPr>
      </w:pPr>
      <w:r w:rsidRPr="00E731A9">
        <w:rPr>
          <w:sz w:val="22"/>
          <w:lang w:val="en-GB"/>
        </w:rPr>
        <w:t>Additionally, the focus can be limited to FDD, as TDD is inefficient in NTN. This is consistent with the recommendation in the Rel-17 NR NTN work item.</w:t>
      </w:r>
    </w:p>
    <w:p w14:paraId="1868F41B" w14:textId="7CEE10A7" w:rsidR="00CB5BFE" w:rsidRPr="00E731A9" w:rsidRDefault="00CB5BFE" w:rsidP="005F7FF0">
      <w:pPr>
        <w:pStyle w:val="Observation"/>
        <w:rPr>
          <w:sz w:val="22"/>
        </w:rPr>
      </w:pPr>
      <w:bookmarkStart w:id="8" w:name="_Toc54365105"/>
      <w:r w:rsidRPr="00E731A9">
        <w:rPr>
          <w:sz w:val="22"/>
        </w:rPr>
        <w:t>Identifying specific bands of interest in sub 6 GHz can be a topic for RAN4 to discuss when a potential normative phase comes.</w:t>
      </w:r>
      <w:bookmarkEnd w:id="8"/>
    </w:p>
    <w:p w14:paraId="0DB03868" w14:textId="1A34348A" w:rsidR="00CB5BFE" w:rsidRPr="00E731A9" w:rsidRDefault="00CB5BFE" w:rsidP="00CB5BFE">
      <w:pPr>
        <w:pStyle w:val="Proposal"/>
        <w:rPr>
          <w:sz w:val="22"/>
        </w:rPr>
      </w:pPr>
      <w:bookmarkStart w:id="9" w:name="_Toc54365110"/>
      <w:r w:rsidRPr="00E731A9">
        <w:rPr>
          <w:sz w:val="22"/>
        </w:rPr>
        <w:t>In Rel-17 IOT NTN SI, consider nominal S band (2 GHz) for evaluation purposes.</w:t>
      </w:r>
      <w:bookmarkEnd w:id="9"/>
    </w:p>
    <w:p w14:paraId="6C807ACB" w14:textId="5B34B4E7" w:rsidR="00CB5BFE" w:rsidRPr="00256A82" w:rsidRDefault="00CB5BFE" w:rsidP="00CE0424">
      <w:pPr>
        <w:pStyle w:val="Proposal"/>
        <w:rPr>
          <w:sz w:val="22"/>
        </w:rPr>
      </w:pPr>
      <w:bookmarkStart w:id="10" w:name="_Toc54365111"/>
      <w:r w:rsidRPr="00E731A9">
        <w:rPr>
          <w:sz w:val="22"/>
        </w:rPr>
        <w:t>In Rel-17 IOT NTN SI, limit the focus to FDD only.</w:t>
      </w:r>
      <w:bookmarkEnd w:id="10"/>
    </w:p>
    <w:p w14:paraId="31E29F0A" w14:textId="2823F648" w:rsidR="00CB5BFE" w:rsidRDefault="00CB5BFE" w:rsidP="00CB5BFE">
      <w:pPr>
        <w:pStyle w:val="Heading2"/>
      </w:pPr>
      <w:r>
        <w:t>3.</w:t>
      </w:r>
      <w:r w:rsidR="005F7FF0">
        <w:t>3</w:t>
      </w:r>
      <w:r>
        <w:tab/>
      </w:r>
      <w:r w:rsidR="00B205C2">
        <w:t>Architecture</w:t>
      </w:r>
      <w:r w:rsidR="00AE61E9">
        <w:t xml:space="preserve"> </w:t>
      </w:r>
    </w:p>
    <w:p w14:paraId="0412DFE0" w14:textId="56FB7947" w:rsidR="00B205C2" w:rsidRPr="00E731A9" w:rsidRDefault="00B205C2" w:rsidP="00CE0424">
      <w:pPr>
        <w:pStyle w:val="BodyText"/>
        <w:rPr>
          <w:sz w:val="22"/>
          <w:lang w:val="en-GB"/>
        </w:rPr>
      </w:pPr>
      <w:r w:rsidRPr="00E731A9">
        <w:rPr>
          <w:sz w:val="22"/>
          <w:lang w:val="en-GB"/>
        </w:rPr>
        <w:t>The study item description clearly indicates that the focus is transparent payload, i.e., bent-pipe architecture</w:t>
      </w:r>
      <w:r w:rsidR="008F23FF" w:rsidRPr="00E731A9">
        <w:rPr>
          <w:sz w:val="22"/>
          <w:lang w:val="en-GB"/>
        </w:rPr>
        <w:t>, which is sensible and can help time-to-market.</w:t>
      </w:r>
    </w:p>
    <w:p w14:paraId="0CE2D15E" w14:textId="0BADEC78" w:rsidR="008F23FF" w:rsidRPr="00E731A9" w:rsidRDefault="008F23FF" w:rsidP="008F23FF">
      <w:pPr>
        <w:pStyle w:val="BodyText"/>
        <w:rPr>
          <w:sz w:val="22"/>
          <w:lang w:val="en-GB"/>
        </w:rPr>
      </w:pPr>
      <w:r w:rsidRPr="00E731A9">
        <w:rPr>
          <w:sz w:val="22"/>
          <w:lang w:val="en-GB"/>
        </w:rPr>
        <w:t xml:space="preserve">In addition, we would like to suggest focusing on earth fixed beam for IoT NTN to limit </w:t>
      </w:r>
      <w:r w:rsidR="00937272">
        <w:rPr>
          <w:sz w:val="22"/>
          <w:lang w:val="en-GB"/>
        </w:rPr>
        <w:t xml:space="preserve">the </w:t>
      </w:r>
      <w:r w:rsidRPr="00E731A9">
        <w:rPr>
          <w:sz w:val="22"/>
          <w:lang w:val="en-GB"/>
        </w:rPr>
        <w:t xml:space="preserve">impact on specifications and implementation. As it has become evident from the discussions in both the Rel-16 NR NTN SI and the ongoing Rel-17 NR NTN WI, supporting earth moving beam is complicated and involves many challenges that are difficult for NR already, let alone the supposedly much simpler </w:t>
      </w:r>
      <w:proofErr w:type="spellStart"/>
      <w:r w:rsidRPr="00E731A9">
        <w:rPr>
          <w:sz w:val="22"/>
          <w:lang w:val="en-GB"/>
        </w:rPr>
        <w:t>eMTC</w:t>
      </w:r>
      <w:proofErr w:type="spellEnd"/>
      <w:r w:rsidRPr="00E731A9">
        <w:rPr>
          <w:sz w:val="22"/>
          <w:lang w:val="en-GB"/>
        </w:rPr>
        <w:t xml:space="preserve"> and NB-IoT devices.</w:t>
      </w:r>
    </w:p>
    <w:p w14:paraId="59DBBDD2" w14:textId="5BE8753A" w:rsidR="008F23FF" w:rsidRPr="00E731A9" w:rsidRDefault="008F23FF" w:rsidP="008F23FF">
      <w:pPr>
        <w:pStyle w:val="Observation"/>
        <w:rPr>
          <w:sz w:val="22"/>
        </w:rPr>
      </w:pPr>
      <w:bookmarkStart w:id="11" w:name="_Toc54365106"/>
      <w:r w:rsidRPr="00E731A9">
        <w:rPr>
          <w:sz w:val="22"/>
        </w:rPr>
        <w:t>The approved Rel-17 IoT NTN SID is dedicated to transparent payload.</w:t>
      </w:r>
      <w:bookmarkEnd w:id="11"/>
    </w:p>
    <w:p w14:paraId="2E66B0F5" w14:textId="09D28267" w:rsidR="005F7FF0" w:rsidRPr="00256A82" w:rsidRDefault="008F23FF" w:rsidP="005F7FF0">
      <w:pPr>
        <w:pStyle w:val="Proposal"/>
        <w:rPr>
          <w:sz w:val="22"/>
        </w:rPr>
      </w:pPr>
      <w:bookmarkStart w:id="12" w:name="_Toc54365112"/>
      <w:r w:rsidRPr="00E731A9">
        <w:rPr>
          <w:sz w:val="22"/>
        </w:rPr>
        <w:t>In Rel-17 IOT NTN SI, limit the focus to earth fixed beam.</w:t>
      </w:r>
      <w:bookmarkEnd w:id="12"/>
    </w:p>
    <w:p w14:paraId="1F0BBC4F" w14:textId="087E13EF" w:rsidR="008F23FF" w:rsidRDefault="008F23FF" w:rsidP="008F23FF">
      <w:pPr>
        <w:pStyle w:val="Heading1"/>
      </w:pPr>
      <w:r>
        <w:t>4</w:t>
      </w:r>
      <w:r>
        <w:tab/>
        <w:t>Evaluations for IoT NTN</w:t>
      </w:r>
    </w:p>
    <w:p w14:paraId="334D0FDF" w14:textId="581C920E" w:rsidR="005F7FF0" w:rsidRPr="00E26196" w:rsidRDefault="008F23FF" w:rsidP="00CE0424">
      <w:pPr>
        <w:pStyle w:val="BodyText"/>
        <w:rPr>
          <w:sz w:val="22"/>
        </w:rPr>
      </w:pPr>
      <w:proofErr w:type="spellStart"/>
      <w:r w:rsidRPr="00E26196">
        <w:rPr>
          <w:sz w:val="22"/>
        </w:rPr>
        <w:t>eMTC</w:t>
      </w:r>
      <w:proofErr w:type="spellEnd"/>
      <w:r w:rsidRPr="00E26196">
        <w:rPr>
          <w:sz w:val="22"/>
        </w:rPr>
        <w:t xml:space="preserve"> and NB-IoT target </w:t>
      </w:r>
      <w:r w:rsidR="0023547D" w:rsidRPr="00E26196">
        <w:rPr>
          <w:sz w:val="22"/>
        </w:rPr>
        <w:t xml:space="preserve">the </w:t>
      </w:r>
      <w:r w:rsidRPr="00E26196">
        <w:rPr>
          <w:sz w:val="22"/>
        </w:rPr>
        <w:t>m</w:t>
      </w:r>
      <w:r w:rsidR="005F7FF0" w:rsidRPr="00E26196">
        <w:rPr>
          <w:sz w:val="22"/>
        </w:rPr>
        <w:t>assive IoT</w:t>
      </w:r>
      <w:r w:rsidRPr="00E26196">
        <w:rPr>
          <w:sz w:val="22"/>
        </w:rPr>
        <w:t xml:space="preserve"> sector, which</w:t>
      </w:r>
      <w:r w:rsidR="005F7FF0" w:rsidRPr="00E26196">
        <w:rPr>
          <w:sz w:val="22"/>
        </w:rPr>
        <w:t xml:space="preserve"> is the deployment of an immense </w:t>
      </w:r>
      <w:r w:rsidR="002D4F3C" w:rsidRPr="00E26196">
        <w:rPr>
          <w:sz w:val="22"/>
        </w:rPr>
        <w:t>number</w:t>
      </w:r>
      <w:r w:rsidR="005F7FF0" w:rsidRPr="00E26196">
        <w:rPr>
          <w:sz w:val="22"/>
        </w:rPr>
        <w:t xml:space="preserve"> of low-complexity devices that do not need to communicate with great frequency. Performance does not need to be high, and low transmission latency is not a requirement. Typical use cases include low-cost sensors, meters, wearables and trackers. Many of these can be deployed in challenging radio environments, such as a basement of a building or on a moving piece of machinery, and </w:t>
      </w:r>
      <w:r w:rsidR="003536AA">
        <w:rPr>
          <w:sz w:val="22"/>
        </w:rPr>
        <w:t xml:space="preserve">in certain scenarios </w:t>
      </w:r>
      <w:r w:rsidR="005F7FF0" w:rsidRPr="00E26196">
        <w:rPr>
          <w:sz w:val="22"/>
        </w:rPr>
        <w:t>will be relied upon to send occasional signals for up to 10 years, without a change of battery. This makes power consumption and conservation critical aspects.</w:t>
      </w:r>
    </w:p>
    <w:p w14:paraId="59984E2C" w14:textId="499F8FAD" w:rsidR="00882074" w:rsidRPr="00E26196" w:rsidRDefault="00882074" w:rsidP="00CE0424">
      <w:pPr>
        <w:pStyle w:val="BodyText"/>
        <w:rPr>
          <w:sz w:val="22"/>
        </w:rPr>
      </w:pPr>
      <w:r w:rsidRPr="00E26196">
        <w:rPr>
          <w:sz w:val="22"/>
        </w:rPr>
        <w:t xml:space="preserve">Note that </w:t>
      </w:r>
      <w:proofErr w:type="spellStart"/>
      <w:r w:rsidRPr="00E26196">
        <w:rPr>
          <w:sz w:val="22"/>
        </w:rPr>
        <w:t>eMTC</w:t>
      </w:r>
      <w:proofErr w:type="spellEnd"/>
      <w:r w:rsidRPr="00E26196">
        <w:rPr>
          <w:sz w:val="22"/>
        </w:rPr>
        <w:t xml:space="preserve"> and NB-IoT were carefully studied at the initial design stage to ensure they could meet the various design targets, see 3GPP</w:t>
      </w:r>
      <w:r w:rsidR="000175BA" w:rsidRPr="00E26196">
        <w:rPr>
          <w:sz w:val="22"/>
        </w:rPr>
        <w:t xml:space="preserve"> TR 36.888 </w:t>
      </w:r>
      <w:r w:rsidR="000175BA" w:rsidRPr="00E26196">
        <w:rPr>
          <w:sz w:val="22"/>
        </w:rPr>
        <w:fldChar w:fldCharType="begin"/>
      </w:r>
      <w:r w:rsidR="000175BA" w:rsidRPr="00E26196">
        <w:rPr>
          <w:sz w:val="22"/>
        </w:rPr>
        <w:instrText xml:space="preserve"> REF _Ref51251630 \r \h </w:instrText>
      </w:r>
      <w:r w:rsidR="00E26196">
        <w:rPr>
          <w:sz w:val="22"/>
        </w:rPr>
        <w:instrText xml:space="preserve"> \* MERGEFORMAT </w:instrText>
      </w:r>
      <w:r w:rsidR="000175BA" w:rsidRPr="00E26196">
        <w:rPr>
          <w:sz w:val="22"/>
        </w:rPr>
      </w:r>
      <w:r w:rsidR="000175BA" w:rsidRPr="00E26196">
        <w:rPr>
          <w:sz w:val="22"/>
        </w:rPr>
        <w:fldChar w:fldCharType="separate"/>
      </w:r>
      <w:r w:rsidR="00256A82">
        <w:rPr>
          <w:sz w:val="22"/>
        </w:rPr>
        <w:t>[6]</w:t>
      </w:r>
      <w:r w:rsidR="000175BA" w:rsidRPr="00E26196">
        <w:rPr>
          <w:sz w:val="22"/>
        </w:rPr>
        <w:fldChar w:fldCharType="end"/>
      </w:r>
      <w:r w:rsidRPr="00E26196">
        <w:rPr>
          <w:sz w:val="22"/>
        </w:rPr>
        <w:t xml:space="preserve"> TR 45.820</w:t>
      </w:r>
      <w:r w:rsidR="000175BA" w:rsidRPr="00E26196">
        <w:rPr>
          <w:sz w:val="22"/>
        </w:rPr>
        <w:t xml:space="preserve"> </w:t>
      </w:r>
      <w:r w:rsidR="000175BA" w:rsidRPr="00E26196">
        <w:rPr>
          <w:sz w:val="22"/>
        </w:rPr>
        <w:fldChar w:fldCharType="begin"/>
      </w:r>
      <w:r w:rsidR="000175BA" w:rsidRPr="00E26196">
        <w:rPr>
          <w:sz w:val="22"/>
        </w:rPr>
        <w:instrText xml:space="preserve"> REF _Ref51251643 \r \h </w:instrText>
      </w:r>
      <w:r w:rsidR="00E26196">
        <w:rPr>
          <w:sz w:val="22"/>
        </w:rPr>
        <w:instrText xml:space="preserve"> \* MERGEFORMAT </w:instrText>
      </w:r>
      <w:r w:rsidR="000175BA" w:rsidRPr="00E26196">
        <w:rPr>
          <w:sz w:val="22"/>
        </w:rPr>
      </w:r>
      <w:r w:rsidR="000175BA" w:rsidRPr="00E26196">
        <w:rPr>
          <w:sz w:val="22"/>
        </w:rPr>
        <w:fldChar w:fldCharType="separate"/>
      </w:r>
      <w:r w:rsidR="00256A82">
        <w:rPr>
          <w:sz w:val="22"/>
        </w:rPr>
        <w:t>[7]</w:t>
      </w:r>
      <w:r w:rsidR="000175BA" w:rsidRPr="00E26196">
        <w:rPr>
          <w:sz w:val="22"/>
        </w:rPr>
        <w:fldChar w:fldCharType="end"/>
      </w:r>
      <w:r w:rsidRPr="00E26196">
        <w:rPr>
          <w:sz w:val="22"/>
        </w:rPr>
        <w:t>.</w:t>
      </w:r>
      <w:r w:rsidR="000175BA" w:rsidRPr="00E26196">
        <w:rPr>
          <w:sz w:val="22"/>
        </w:rPr>
        <w:t xml:space="preserve"> Important design targets include:</w:t>
      </w:r>
    </w:p>
    <w:p w14:paraId="6720765E" w14:textId="5B01B8B9" w:rsidR="000175BA" w:rsidRPr="00E26196" w:rsidRDefault="000175BA" w:rsidP="000175BA">
      <w:pPr>
        <w:pStyle w:val="BodyText"/>
        <w:numPr>
          <w:ilvl w:val="0"/>
          <w:numId w:val="27"/>
        </w:numPr>
        <w:rPr>
          <w:sz w:val="22"/>
        </w:rPr>
      </w:pPr>
      <w:r w:rsidRPr="00E26196">
        <w:rPr>
          <w:sz w:val="22"/>
        </w:rPr>
        <w:t>Improved coverage to support 164 dB MCL.</w:t>
      </w:r>
    </w:p>
    <w:p w14:paraId="49A722A0" w14:textId="77777777" w:rsidR="000175BA" w:rsidRPr="00E26196" w:rsidRDefault="000175BA" w:rsidP="000175BA">
      <w:pPr>
        <w:pStyle w:val="BodyText"/>
        <w:numPr>
          <w:ilvl w:val="0"/>
          <w:numId w:val="27"/>
        </w:numPr>
        <w:rPr>
          <w:sz w:val="22"/>
        </w:rPr>
      </w:pPr>
      <w:r w:rsidRPr="00E26196">
        <w:rPr>
          <w:sz w:val="22"/>
        </w:rPr>
        <w:t>Support of massive number of low throughput devices</w:t>
      </w:r>
    </w:p>
    <w:p w14:paraId="6E555744" w14:textId="48C7F6A1" w:rsidR="000175BA" w:rsidRPr="00E26196" w:rsidRDefault="00B277FE" w:rsidP="000175BA">
      <w:pPr>
        <w:pStyle w:val="BodyText"/>
        <w:numPr>
          <w:ilvl w:val="1"/>
          <w:numId w:val="27"/>
        </w:numPr>
        <w:rPr>
          <w:sz w:val="22"/>
        </w:rPr>
      </w:pPr>
      <w:r w:rsidRPr="00E26196">
        <w:rPr>
          <w:sz w:val="22"/>
        </w:rPr>
        <w:t xml:space="preserve">A system that can support </w:t>
      </w:r>
      <w:proofErr w:type="gramStart"/>
      <w:r w:rsidRPr="00E26196">
        <w:rPr>
          <w:sz w:val="22"/>
        </w:rPr>
        <w:t>a large number of</w:t>
      </w:r>
      <w:proofErr w:type="gramEnd"/>
      <w:r w:rsidRPr="00E26196">
        <w:rPr>
          <w:sz w:val="22"/>
        </w:rPr>
        <w:t xml:space="preserve"> devices, each generating a small amount of data is required. </w:t>
      </w:r>
      <w:r w:rsidR="000175BA" w:rsidRPr="00E26196">
        <w:rPr>
          <w:sz w:val="22"/>
        </w:rPr>
        <w:t xml:space="preserve">The original traffic model was based on TR 36.888. In Rel-15, both </w:t>
      </w:r>
      <w:proofErr w:type="spellStart"/>
      <w:r w:rsidR="000175BA" w:rsidRPr="00E26196">
        <w:rPr>
          <w:sz w:val="22"/>
        </w:rPr>
        <w:lastRenderedPageBreak/>
        <w:t>eMTC</w:t>
      </w:r>
      <w:proofErr w:type="spellEnd"/>
      <w:r w:rsidR="000175BA" w:rsidRPr="00E26196">
        <w:rPr>
          <w:sz w:val="22"/>
        </w:rPr>
        <w:t xml:space="preserve"> and NB-IoT were further evaluated and shown to fulfil 5G device density requirement of 1,000,000 devices per square km.</w:t>
      </w:r>
    </w:p>
    <w:p w14:paraId="63AF3A10" w14:textId="650AFF1B" w:rsidR="00B277FE" w:rsidRPr="00E26196" w:rsidRDefault="00B277FE" w:rsidP="00B277FE">
      <w:pPr>
        <w:pStyle w:val="BodyText"/>
        <w:numPr>
          <w:ilvl w:val="0"/>
          <w:numId w:val="27"/>
        </w:numPr>
        <w:rPr>
          <w:sz w:val="22"/>
        </w:rPr>
      </w:pPr>
      <w:r w:rsidRPr="00E26196">
        <w:rPr>
          <w:sz w:val="22"/>
        </w:rPr>
        <w:t>Reduced complexity and cost:</w:t>
      </w:r>
    </w:p>
    <w:p w14:paraId="418AD2A2" w14:textId="45603E23" w:rsidR="00B277FE" w:rsidRPr="00E26196" w:rsidRDefault="00B277FE" w:rsidP="00B277FE">
      <w:pPr>
        <w:pStyle w:val="BodyText"/>
        <w:numPr>
          <w:ilvl w:val="1"/>
          <w:numId w:val="27"/>
        </w:numPr>
        <w:rPr>
          <w:sz w:val="22"/>
        </w:rPr>
      </w:pPr>
      <w:r w:rsidRPr="00E26196">
        <w:rPr>
          <w:sz w:val="22"/>
        </w:rPr>
        <w:t>MTC applications require devices that are very cheap (so that they can be deployed on a mass scale or in a disposable manner), requiring techniques that can significantly reduce complexity and hence cost</w:t>
      </w:r>
      <w:r w:rsidR="00E26196">
        <w:rPr>
          <w:sz w:val="22"/>
        </w:rPr>
        <w:t>,</w:t>
      </w:r>
      <w:r w:rsidR="004E27A8" w:rsidRPr="00E26196">
        <w:rPr>
          <w:sz w:val="22"/>
        </w:rPr>
        <w:t xml:space="preserve"> e.g. reduced device bandwidth, number of antennas, etc.</w:t>
      </w:r>
    </w:p>
    <w:p w14:paraId="72A0B151" w14:textId="4A18DF36" w:rsidR="00B277FE" w:rsidRPr="00E26196" w:rsidRDefault="00B277FE" w:rsidP="00B277FE">
      <w:pPr>
        <w:pStyle w:val="BodyText"/>
        <w:numPr>
          <w:ilvl w:val="0"/>
          <w:numId w:val="27"/>
        </w:numPr>
        <w:rPr>
          <w:sz w:val="22"/>
        </w:rPr>
      </w:pPr>
      <w:r w:rsidRPr="00E26196">
        <w:rPr>
          <w:sz w:val="22"/>
        </w:rPr>
        <w:t>Power consumption:</w:t>
      </w:r>
    </w:p>
    <w:p w14:paraId="37380458" w14:textId="370D3BF1" w:rsidR="00B277FE" w:rsidRPr="00E26196" w:rsidRDefault="00B277FE" w:rsidP="00B277FE">
      <w:pPr>
        <w:pStyle w:val="BodyText"/>
        <w:numPr>
          <w:ilvl w:val="1"/>
          <w:numId w:val="27"/>
        </w:numPr>
        <w:rPr>
          <w:sz w:val="22"/>
        </w:rPr>
      </w:pPr>
      <w:r w:rsidRPr="00E26196">
        <w:rPr>
          <w:sz w:val="22"/>
        </w:rPr>
        <w:t xml:space="preserve">The power consumption of MTC devices should be reduced so that they can have up to ten years battery life with battery capacity of 5 </w:t>
      </w:r>
      <w:proofErr w:type="spellStart"/>
      <w:r w:rsidRPr="00E26196">
        <w:rPr>
          <w:sz w:val="22"/>
        </w:rPr>
        <w:t>Wh</w:t>
      </w:r>
      <w:proofErr w:type="spellEnd"/>
      <w:r w:rsidRPr="00E26196">
        <w:rPr>
          <w:sz w:val="22"/>
        </w:rPr>
        <w:t xml:space="preserve"> (Watt-hours), even in locations with adverse coverage conditions with up to 164 dB MCL.</w:t>
      </w:r>
    </w:p>
    <w:p w14:paraId="12E5F02C" w14:textId="22AFCD48" w:rsidR="000175BA" w:rsidRPr="00E26196" w:rsidRDefault="00B277FE" w:rsidP="000175BA">
      <w:pPr>
        <w:pStyle w:val="BodyText"/>
        <w:numPr>
          <w:ilvl w:val="0"/>
          <w:numId w:val="27"/>
        </w:numPr>
        <w:rPr>
          <w:sz w:val="22"/>
        </w:rPr>
      </w:pPr>
      <w:r w:rsidRPr="00E26196">
        <w:rPr>
          <w:sz w:val="22"/>
        </w:rPr>
        <w:t>Latency:</w:t>
      </w:r>
    </w:p>
    <w:p w14:paraId="4D630145" w14:textId="386314BE" w:rsidR="00B277FE" w:rsidRPr="00E26196" w:rsidRDefault="00B277FE" w:rsidP="00B277FE">
      <w:pPr>
        <w:pStyle w:val="BodyText"/>
        <w:numPr>
          <w:ilvl w:val="1"/>
          <w:numId w:val="27"/>
        </w:numPr>
        <w:rPr>
          <w:sz w:val="22"/>
        </w:rPr>
      </w:pPr>
      <w:r w:rsidRPr="00E26196">
        <w:rPr>
          <w:sz w:val="22"/>
        </w:rPr>
        <w:t>MTC devices may in general support relaxed delay characteristics. Certain applications (e.g. alarms) may however require a reasonably strict delay profile. For devices supporting such applications a delay requirement of 10 seconds is appropriate for the uplink when measured from the application 'trigger event' to the packet being ready for transmission from the base station towards the core network.</w:t>
      </w:r>
    </w:p>
    <w:p w14:paraId="25A16E08" w14:textId="1D6A40A8" w:rsidR="00882074" w:rsidRPr="00E26196" w:rsidRDefault="008F23FF" w:rsidP="00B277FE">
      <w:pPr>
        <w:pStyle w:val="BodyText"/>
        <w:rPr>
          <w:sz w:val="22"/>
        </w:rPr>
      </w:pPr>
      <w:r w:rsidRPr="00E26196">
        <w:rPr>
          <w:sz w:val="22"/>
        </w:rPr>
        <w:t xml:space="preserve">To study the feasibility of NTN for </w:t>
      </w:r>
      <w:proofErr w:type="spellStart"/>
      <w:r w:rsidR="00882074" w:rsidRPr="00E26196">
        <w:rPr>
          <w:sz w:val="22"/>
        </w:rPr>
        <w:t>eMTC</w:t>
      </w:r>
      <w:proofErr w:type="spellEnd"/>
      <w:r w:rsidR="00882074" w:rsidRPr="00E26196">
        <w:rPr>
          <w:sz w:val="22"/>
        </w:rPr>
        <w:t xml:space="preserve"> and </w:t>
      </w:r>
      <w:r w:rsidRPr="00E26196">
        <w:rPr>
          <w:sz w:val="22"/>
        </w:rPr>
        <w:t>NB-IoT, it is important to properly evaluate the various design targets</w:t>
      </w:r>
      <w:r w:rsidR="00882074" w:rsidRPr="00E26196">
        <w:rPr>
          <w:sz w:val="22"/>
        </w:rPr>
        <w:t xml:space="preserve"> originally</w:t>
      </w:r>
      <w:r w:rsidRPr="00E26196">
        <w:rPr>
          <w:sz w:val="22"/>
        </w:rPr>
        <w:t xml:space="preserve"> envisioned for NB-IoT and </w:t>
      </w:r>
      <w:proofErr w:type="spellStart"/>
      <w:r w:rsidRPr="00E26196">
        <w:rPr>
          <w:sz w:val="22"/>
        </w:rPr>
        <w:t>eMTC</w:t>
      </w:r>
      <w:proofErr w:type="spellEnd"/>
      <w:r w:rsidR="00882074" w:rsidRPr="00E26196">
        <w:rPr>
          <w:sz w:val="22"/>
        </w:rPr>
        <w:t xml:space="preserve"> in the new context of NTN</w:t>
      </w:r>
      <w:r w:rsidR="00B277FE" w:rsidRPr="00E26196">
        <w:rPr>
          <w:sz w:val="22"/>
        </w:rPr>
        <w:t>, taking into account factors such as the additional complexity, cost, and power consumption associated with GNSS operation.</w:t>
      </w:r>
    </w:p>
    <w:p w14:paraId="49A5C6EE" w14:textId="2640DCDC" w:rsidR="00B277FE" w:rsidRDefault="00B277FE" w:rsidP="00B277FE">
      <w:pPr>
        <w:pStyle w:val="BodyText"/>
        <w:rPr>
          <w:sz w:val="22"/>
          <w:lang w:val="en-GB"/>
        </w:rPr>
      </w:pPr>
      <w:r w:rsidRPr="00E26196">
        <w:rPr>
          <w:sz w:val="22"/>
        </w:rPr>
        <w:t xml:space="preserve">Additionally, </w:t>
      </w:r>
      <w:r w:rsidRPr="00E26196">
        <w:rPr>
          <w:sz w:val="22"/>
          <w:lang w:val="en-GB"/>
        </w:rPr>
        <w:t>the study item description clearly indicates that device types with PC3 and PC5 are in the scope and thus it will be necessary to evaluate</w:t>
      </w:r>
      <w:r w:rsidR="00470994" w:rsidRPr="00E26196">
        <w:rPr>
          <w:sz w:val="22"/>
          <w:lang w:val="en-GB"/>
        </w:rPr>
        <w:t xml:space="preserve"> both</w:t>
      </w:r>
      <w:r w:rsidRPr="00E26196">
        <w:rPr>
          <w:sz w:val="22"/>
          <w:lang w:val="en-GB"/>
        </w:rPr>
        <w:t xml:space="preserve"> </w:t>
      </w:r>
      <w:r w:rsidR="00470994" w:rsidRPr="00E26196">
        <w:rPr>
          <w:sz w:val="22"/>
          <w:lang w:val="en-GB"/>
        </w:rPr>
        <w:t>device types.</w:t>
      </w:r>
    </w:p>
    <w:p w14:paraId="61F17AAC" w14:textId="06757B5D" w:rsidR="00135806" w:rsidRPr="00256A82" w:rsidRDefault="00E1287F" w:rsidP="00CE0424">
      <w:pPr>
        <w:pStyle w:val="BodyText"/>
        <w:rPr>
          <w:sz w:val="22"/>
          <w:lang w:val="en-GB"/>
        </w:rPr>
      </w:pPr>
      <w:r>
        <w:rPr>
          <w:sz w:val="22"/>
          <w:lang w:val="en-GB"/>
        </w:rPr>
        <w:t xml:space="preserve">In our companion contribution </w:t>
      </w:r>
      <w:r>
        <w:rPr>
          <w:sz w:val="22"/>
          <w:lang w:val="en-GB"/>
        </w:rPr>
        <w:fldChar w:fldCharType="begin"/>
      </w:r>
      <w:r>
        <w:rPr>
          <w:sz w:val="22"/>
          <w:lang w:val="en-GB"/>
        </w:rPr>
        <w:instrText xml:space="preserve"> REF _Ref53919661 \r \h </w:instrText>
      </w:r>
      <w:r>
        <w:rPr>
          <w:sz w:val="22"/>
          <w:lang w:val="en-GB"/>
        </w:rPr>
      </w:r>
      <w:r>
        <w:rPr>
          <w:sz w:val="22"/>
          <w:lang w:val="en-GB"/>
        </w:rPr>
        <w:fldChar w:fldCharType="separate"/>
      </w:r>
      <w:r w:rsidR="00256A82">
        <w:rPr>
          <w:sz w:val="22"/>
          <w:lang w:val="en-GB"/>
        </w:rPr>
        <w:t>[8]</w:t>
      </w:r>
      <w:r>
        <w:rPr>
          <w:sz w:val="22"/>
          <w:lang w:val="en-GB"/>
        </w:rPr>
        <w:fldChar w:fldCharType="end"/>
      </w:r>
      <w:r>
        <w:rPr>
          <w:sz w:val="22"/>
          <w:lang w:val="en-GB"/>
        </w:rPr>
        <w:t xml:space="preserve">, we discuss in more detail about evaluation assumptions for  </w:t>
      </w:r>
      <w:proofErr w:type="spellStart"/>
      <w:r w:rsidRPr="00E26196">
        <w:rPr>
          <w:sz w:val="22"/>
        </w:rPr>
        <w:t>eMTC</w:t>
      </w:r>
      <w:proofErr w:type="spellEnd"/>
      <w:r w:rsidRPr="00E26196">
        <w:rPr>
          <w:sz w:val="22"/>
        </w:rPr>
        <w:t xml:space="preserve"> and NB-IoT</w:t>
      </w:r>
      <w:r>
        <w:rPr>
          <w:sz w:val="22"/>
        </w:rPr>
        <w:t xml:space="preserve"> based NTN, and provide some initial evaluation results.</w:t>
      </w:r>
    </w:p>
    <w:p w14:paraId="49ACBBF2" w14:textId="5C482257" w:rsidR="00B277FE" w:rsidRPr="00E26196" w:rsidRDefault="00470994" w:rsidP="00B277FE">
      <w:pPr>
        <w:pStyle w:val="Observation"/>
        <w:rPr>
          <w:sz w:val="22"/>
        </w:rPr>
      </w:pPr>
      <w:bookmarkStart w:id="13" w:name="_Toc54365107"/>
      <w:r w:rsidRPr="00E26196">
        <w:rPr>
          <w:sz w:val="22"/>
        </w:rPr>
        <w:t xml:space="preserve">To study the feasibility of NTN for </w:t>
      </w:r>
      <w:proofErr w:type="spellStart"/>
      <w:r w:rsidRPr="00E26196">
        <w:rPr>
          <w:sz w:val="22"/>
        </w:rPr>
        <w:t>eMTC</w:t>
      </w:r>
      <w:proofErr w:type="spellEnd"/>
      <w:r w:rsidRPr="00E26196">
        <w:rPr>
          <w:sz w:val="22"/>
        </w:rPr>
        <w:t xml:space="preserve"> and NB-IoT, it is important to properly evaluate the various design targets originally envisioned for </w:t>
      </w:r>
      <w:proofErr w:type="spellStart"/>
      <w:r w:rsidRPr="00E26196">
        <w:rPr>
          <w:sz w:val="22"/>
        </w:rPr>
        <w:t>eMTC</w:t>
      </w:r>
      <w:proofErr w:type="spellEnd"/>
      <w:r w:rsidRPr="00E26196">
        <w:rPr>
          <w:sz w:val="22"/>
        </w:rPr>
        <w:t xml:space="preserve"> and </w:t>
      </w:r>
      <w:r w:rsidR="000F0CEA">
        <w:rPr>
          <w:sz w:val="22"/>
        </w:rPr>
        <w:t>NB-IoT</w:t>
      </w:r>
      <w:r w:rsidRPr="00E26196">
        <w:rPr>
          <w:sz w:val="22"/>
        </w:rPr>
        <w:t xml:space="preserve"> in the new context of NTN, taking into account factors such as the additional complexity, cost, and power consumption associated with GNSS operation.</w:t>
      </w:r>
      <w:bookmarkEnd w:id="13"/>
    </w:p>
    <w:p w14:paraId="73E7B136" w14:textId="550AAE94" w:rsidR="00AF0D36" w:rsidRPr="00256A82" w:rsidRDefault="00B277FE" w:rsidP="00AF0D36">
      <w:pPr>
        <w:pStyle w:val="Proposal"/>
        <w:rPr>
          <w:sz w:val="22"/>
        </w:rPr>
      </w:pPr>
      <w:bookmarkStart w:id="14" w:name="_Toc54365113"/>
      <w:r w:rsidRPr="00E26196">
        <w:rPr>
          <w:sz w:val="22"/>
        </w:rPr>
        <w:t xml:space="preserve">In Rel-17 IOT NTN SI, </w:t>
      </w:r>
      <w:r w:rsidR="00470994" w:rsidRPr="00E26196">
        <w:rPr>
          <w:sz w:val="22"/>
        </w:rPr>
        <w:t xml:space="preserve">evaluate </w:t>
      </w:r>
      <w:proofErr w:type="spellStart"/>
      <w:r w:rsidR="00470994" w:rsidRPr="00E26196">
        <w:rPr>
          <w:sz w:val="22"/>
        </w:rPr>
        <w:t>eMTC</w:t>
      </w:r>
      <w:proofErr w:type="spellEnd"/>
      <w:r w:rsidR="00470994" w:rsidRPr="00E26196">
        <w:rPr>
          <w:sz w:val="22"/>
        </w:rPr>
        <w:t xml:space="preserve"> and NB-IoT in the context of NTN at least for the following targets: (1) coverage performance through link budget analysis; (2) supported device density; (3) complexity and cost of equipping</w:t>
      </w:r>
      <w:r w:rsidR="00E731A9" w:rsidRPr="00E26196">
        <w:rPr>
          <w:sz w:val="22"/>
        </w:rPr>
        <w:t xml:space="preserve"> </w:t>
      </w:r>
      <w:proofErr w:type="spellStart"/>
      <w:r w:rsidR="00E731A9" w:rsidRPr="00E26196">
        <w:rPr>
          <w:sz w:val="22"/>
        </w:rPr>
        <w:t>eMTC</w:t>
      </w:r>
      <w:proofErr w:type="spellEnd"/>
      <w:r w:rsidR="00E731A9" w:rsidRPr="00E26196">
        <w:rPr>
          <w:sz w:val="22"/>
        </w:rPr>
        <w:t>/NB-IoT</w:t>
      </w:r>
      <w:r w:rsidR="00E26196" w:rsidRPr="00E26196">
        <w:rPr>
          <w:sz w:val="22"/>
        </w:rPr>
        <w:t xml:space="preserve"> </w:t>
      </w:r>
      <w:r w:rsidR="00470994" w:rsidRPr="00E26196">
        <w:rPr>
          <w:sz w:val="22"/>
        </w:rPr>
        <w:t xml:space="preserve">devices with NTN capability; (4) power consumption performance of </w:t>
      </w:r>
      <w:proofErr w:type="spellStart"/>
      <w:r w:rsidR="000F0CEA">
        <w:rPr>
          <w:sz w:val="22"/>
        </w:rPr>
        <w:t>e</w:t>
      </w:r>
      <w:r w:rsidR="00470994" w:rsidRPr="00E26196">
        <w:rPr>
          <w:sz w:val="22"/>
        </w:rPr>
        <w:t>MTC</w:t>
      </w:r>
      <w:proofErr w:type="spellEnd"/>
      <w:r w:rsidR="000F0CEA">
        <w:rPr>
          <w:sz w:val="22"/>
        </w:rPr>
        <w:t>/NB-IoT</w:t>
      </w:r>
      <w:r w:rsidR="00470994" w:rsidRPr="00E26196">
        <w:rPr>
          <w:sz w:val="22"/>
        </w:rPr>
        <w:t xml:space="preserve"> devices with NTN connectivity; and (5) latency performance of </w:t>
      </w:r>
      <w:proofErr w:type="spellStart"/>
      <w:r w:rsidR="00E26196" w:rsidRPr="00E26196">
        <w:rPr>
          <w:sz w:val="22"/>
        </w:rPr>
        <w:t>eMTC</w:t>
      </w:r>
      <w:proofErr w:type="spellEnd"/>
      <w:r w:rsidR="00E26196" w:rsidRPr="00E26196">
        <w:rPr>
          <w:sz w:val="22"/>
        </w:rPr>
        <w:t>/NB-IoT</w:t>
      </w:r>
      <w:r w:rsidR="00470994" w:rsidRPr="00E26196">
        <w:rPr>
          <w:sz w:val="22"/>
        </w:rPr>
        <w:t xml:space="preserve"> devices in NTN systems.</w:t>
      </w:r>
      <w:bookmarkEnd w:id="14"/>
    </w:p>
    <w:p w14:paraId="37EB5693" w14:textId="77777777" w:rsidR="00C01F33" w:rsidRPr="00CE0424" w:rsidRDefault="00C01F33" w:rsidP="00CE0424">
      <w:pPr>
        <w:pStyle w:val="Heading1"/>
      </w:pPr>
      <w:r w:rsidRPr="00CE0424">
        <w:t>Conclusion</w:t>
      </w:r>
    </w:p>
    <w:p w14:paraId="5A650F21" w14:textId="77777777" w:rsidR="008E065E" w:rsidRPr="003C67C5" w:rsidRDefault="008E065E" w:rsidP="008E065E">
      <w:pPr>
        <w:pStyle w:val="BodyText"/>
        <w:rPr>
          <w:b/>
          <w:bCs/>
          <w:sz w:val="22"/>
        </w:rPr>
      </w:pPr>
      <w:r w:rsidRPr="003C67C5">
        <w:rPr>
          <w:sz w:val="22"/>
        </w:rPr>
        <w:t xml:space="preserve">In </w:t>
      </w:r>
      <w:r w:rsidR="007729A2" w:rsidRPr="003C67C5">
        <w:rPr>
          <w:sz w:val="22"/>
        </w:rPr>
        <w:t xml:space="preserve">the previous </w:t>
      </w:r>
      <w:r w:rsidRPr="003C67C5">
        <w:rPr>
          <w:sz w:val="22"/>
        </w:rPr>
        <w:t>section</w:t>
      </w:r>
      <w:r w:rsidR="007729A2" w:rsidRPr="003C67C5">
        <w:rPr>
          <w:sz w:val="22"/>
        </w:rPr>
        <w:t>s</w:t>
      </w:r>
      <w:r w:rsidRPr="003C67C5">
        <w:rPr>
          <w:sz w:val="22"/>
        </w:rPr>
        <w:t xml:space="preserve"> we made the following observations:</w:t>
      </w:r>
      <w:r w:rsidR="00C93814" w:rsidRPr="003C67C5">
        <w:rPr>
          <w:b/>
          <w:bCs/>
          <w:sz w:val="22"/>
        </w:rPr>
        <w:t xml:space="preserve"> </w:t>
      </w:r>
    </w:p>
    <w:p w14:paraId="73F0C524" w14:textId="77777777" w:rsidR="00256A82" w:rsidRDefault="006F6582">
      <w:pPr>
        <w:pStyle w:val="TableofFigures"/>
        <w:tabs>
          <w:tab w:val="right" w:leader="dot" w:pos="9629"/>
        </w:tabs>
        <w:rPr>
          <w:rFonts w:asciiTheme="minorHAnsi" w:eastAsiaTheme="minorEastAsia" w:hAnsiTheme="minorHAnsi"/>
          <w:b w:val="0"/>
          <w:noProof/>
          <w:sz w:val="22"/>
        </w:rPr>
      </w:pPr>
      <w:r w:rsidRPr="003C67C5">
        <w:rPr>
          <w:b w:val="0"/>
          <w:bCs/>
          <w:sz w:val="22"/>
        </w:rPr>
        <w:fldChar w:fldCharType="begin"/>
      </w:r>
      <w:r w:rsidRPr="003C67C5">
        <w:rPr>
          <w:b w:val="0"/>
          <w:bCs/>
          <w:sz w:val="22"/>
        </w:rPr>
        <w:instrText xml:space="preserve"> TOC \f O \n \h \z \t "Observation" \c </w:instrText>
      </w:r>
      <w:r w:rsidRPr="003C67C5">
        <w:rPr>
          <w:b w:val="0"/>
          <w:bCs/>
          <w:sz w:val="22"/>
        </w:rPr>
        <w:fldChar w:fldCharType="separate"/>
      </w:r>
      <w:hyperlink w:anchor="_Toc54365101" w:history="1">
        <w:r w:rsidR="00256A82" w:rsidRPr="0051704F">
          <w:rPr>
            <w:rStyle w:val="Hyperlink"/>
            <w:noProof/>
          </w:rPr>
          <w:t>Observation 1</w:t>
        </w:r>
        <w:r w:rsidR="00256A82">
          <w:rPr>
            <w:rFonts w:asciiTheme="minorHAnsi" w:eastAsiaTheme="minorEastAsia" w:hAnsiTheme="minorHAnsi"/>
            <w:b w:val="0"/>
            <w:noProof/>
            <w:sz w:val="22"/>
          </w:rPr>
          <w:tab/>
        </w:r>
        <w:r w:rsidR="00256A82" w:rsidRPr="0051704F">
          <w:rPr>
            <w:rStyle w:val="Hyperlink"/>
            <w:noProof/>
            <w:lang w:val="en-GB"/>
          </w:rPr>
          <w:t>eMTC and NB-IoT are complementary technologies that can address different types of IoT use cases based on their unique capabilities.</w:t>
        </w:r>
      </w:hyperlink>
    </w:p>
    <w:p w14:paraId="76C7DF6D"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02" w:history="1">
        <w:r w:rsidRPr="0051704F">
          <w:rPr>
            <w:rStyle w:val="Hyperlink"/>
            <w:noProof/>
          </w:rPr>
          <w:t>Observation 2</w:t>
        </w:r>
        <w:r>
          <w:rPr>
            <w:rFonts w:asciiTheme="minorHAnsi" w:eastAsiaTheme="minorEastAsia" w:hAnsiTheme="minorHAnsi"/>
            <w:b w:val="0"/>
            <w:noProof/>
            <w:sz w:val="22"/>
          </w:rPr>
          <w:tab/>
        </w:r>
        <w:r w:rsidRPr="0051704F">
          <w:rPr>
            <w:rStyle w:val="Hyperlink"/>
            <w:noProof/>
            <w:lang w:val="en-GB"/>
          </w:rPr>
          <w:t>NB-IoT supports ultra-low complexity devices with very narrow bandwidth, while eMTC can achieve higher data rates, more accurate device positioning, and supports voice calls and connected mode mobility.</w:t>
        </w:r>
      </w:hyperlink>
    </w:p>
    <w:p w14:paraId="6CD35859"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03" w:history="1">
        <w:r w:rsidRPr="0051704F">
          <w:rPr>
            <w:rStyle w:val="Hyperlink"/>
            <w:noProof/>
          </w:rPr>
          <w:t>Observation 3</w:t>
        </w:r>
        <w:r>
          <w:rPr>
            <w:rFonts w:asciiTheme="minorHAnsi" w:eastAsiaTheme="minorEastAsia" w:hAnsiTheme="minorHAnsi"/>
            <w:b w:val="0"/>
            <w:noProof/>
            <w:sz w:val="22"/>
          </w:rPr>
          <w:tab/>
        </w:r>
        <w:r w:rsidRPr="0051704F">
          <w:rPr>
            <w:rStyle w:val="Hyperlink"/>
            <w:noProof/>
          </w:rPr>
          <w:t>The approved Rel-17 IoT NTN SID is dedicated to LEO and GEO satellite communication, while HAPS/HIBS and A2G are not in the scope.</w:t>
        </w:r>
      </w:hyperlink>
    </w:p>
    <w:p w14:paraId="02F14300"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04" w:history="1">
        <w:r w:rsidRPr="0051704F">
          <w:rPr>
            <w:rStyle w:val="Hyperlink"/>
            <w:noProof/>
          </w:rPr>
          <w:t>Observation 4</w:t>
        </w:r>
        <w:r>
          <w:rPr>
            <w:rFonts w:asciiTheme="minorHAnsi" w:eastAsiaTheme="minorEastAsia" w:hAnsiTheme="minorHAnsi"/>
            <w:b w:val="0"/>
            <w:noProof/>
            <w:sz w:val="22"/>
          </w:rPr>
          <w:tab/>
        </w:r>
        <w:r w:rsidRPr="0051704F">
          <w:rPr>
            <w:rStyle w:val="Hyperlink"/>
            <w:noProof/>
          </w:rPr>
          <w:t xml:space="preserve">Rel-17 IoT NTN study should equally treat </w:t>
        </w:r>
        <w:r w:rsidRPr="0051704F">
          <w:rPr>
            <w:rStyle w:val="Hyperlink"/>
            <w:noProof/>
            <w:lang w:val="en-GB"/>
          </w:rPr>
          <w:t>eMTC and NB-IoT. The study item cannot be said to be complete, if one of them is not properly studied for its feasibility for NTN.</w:t>
        </w:r>
      </w:hyperlink>
    </w:p>
    <w:p w14:paraId="7CA4036E"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05" w:history="1">
        <w:r w:rsidRPr="0051704F">
          <w:rPr>
            <w:rStyle w:val="Hyperlink"/>
            <w:noProof/>
          </w:rPr>
          <w:t>Observation 5</w:t>
        </w:r>
        <w:r>
          <w:rPr>
            <w:rFonts w:asciiTheme="minorHAnsi" w:eastAsiaTheme="minorEastAsia" w:hAnsiTheme="minorHAnsi"/>
            <w:b w:val="0"/>
            <w:noProof/>
            <w:sz w:val="22"/>
          </w:rPr>
          <w:tab/>
        </w:r>
        <w:r w:rsidRPr="0051704F">
          <w:rPr>
            <w:rStyle w:val="Hyperlink"/>
            <w:noProof/>
          </w:rPr>
          <w:t>Identifying specific bands of interest in sub 6 GHz can be a topic for RAN4 to discuss when a potential normative phase comes.</w:t>
        </w:r>
      </w:hyperlink>
    </w:p>
    <w:p w14:paraId="3B248827"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06" w:history="1">
        <w:r w:rsidRPr="0051704F">
          <w:rPr>
            <w:rStyle w:val="Hyperlink"/>
            <w:noProof/>
          </w:rPr>
          <w:t>Observation 6</w:t>
        </w:r>
        <w:r>
          <w:rPr>
            <w:rFonts w:asciiTheme="minorHAnsi" w:eastAsiaTheme="minorEastAsia" w:hAnsiTheme="minorHAnsi"/>
            <w:b w:val="0"/>
            <w:noProof/>
            <w:sz w:val="22"/>
          </w:rPr>
          <w:tab/>
        </w:r>
        <w:r w:rsidRPr="0051704F">
          <w:rPr>
            <w:rStyle w:val="Hyperlink"/>
            <w:noProof/>
          </w:rPr>
          <w:t>The approved Rel-17 IoT NTN SID is dedicated to transparent payload.</w:t>
        </w:r>
      </w:hyperlink>
    </w:p>
    <w:p w14:paraId="03880E06"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07" w:history="1">
        <w:r w:rsidRPr="0051704F">
          <w:rPr>
            <w:rStyle w:val="Hyperlink"/>
            <w:noProof/>
          </w:rPr>
          <w:t>Observation 7</w:t>
        </w:r>
        <w:r>
          <w:rPr>
            <w:rFonts w:asciiTheme="minorHAnsi" w:eastAsiaTheme="minorEastAsia" w:hAnsiTheme="minorHAnsi"/>
            <w:b w:val="0"/>
            <w:noProof/>
            <w:sz w:val="22"/>
          </w:rPr>
          <w:tab/>
        </w:r>
        <w:r w:rsidRPr="0051704F">
          <w:rPr>
            <w:rStyle w:val="Hyperlink"/>
            <w:noProof/>
          </w:rPr>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hyperlink>
    </w:p>
    <w:p w14:paraId="7D91EC5D" w14:textId="158EA518" w:rsidR="006E1C82" w:rsidRPr="003C67C5" w:rsidRDefault="006F6582" w:rsidP="008E065E">
      <w:pPr>
        <w:pStyle w:val="BodyText"/>
        <w:rPr>
          <w:b/>
          <w:bCs/>
          <w:sz w:val="22"/>
        </w:rPr>
      </w:pPr>
      <w:r w:rsidRPr="003C67C5">
        <w:rPr>
          <w:b/>
          <w:bCs/>
          <w:sz w:val="22"/>
        </w:rPr>
        <w:fldChar w:fldCharType="end"/>
      </w:r>
    </w:p>
    <w:p w14:paraId="6225A1B8" w14:textId="77777777" w:rsidR="006E1C82" w:rsidRPr="003C67C5" w:rsidRDefault="008E065E" w:rsidP="006E1C82">
      <w:pPr>
        <w:pStyle w:val="BodyText"/>
        <w:rPr>
          <w:sz w:val="22"/>
        </w:rPr>
      </w:pPr>
      <w:r w:rsidRPr="003C67C5">
        <w:rPr>
          <w:sz w:val="22"/>
        </w:rPr>
        <w:t xml:space="preserve">Based on the discussion in </w:t>
      </w:r>
      <w:r w:rsidR="007729A2" w:rsidRPr="003C67C5">
        <w:rPr>
          <w:sz w:val="22"/>
        </w:rPr>
        <w:t xml:space="preserve">the previous </w:t>
      </w:r>
      <w:r w:rsidRPr="003C67C5">
        <w:rPr>
          <w:sz w:val="22"/>
        </w:rPr>
        <w:t>section</w:t>
      </w:r>
      <w:r w:rsidR="007729A2" w:rsidRPr="003C67C5">
        <w:rPr>
          <w:sz w:val="22"/>
        </w:rPr>
        <w:t>s</w:t>
      </w:r>
      <w:r w:rsidRPr="003C67C5">
        <w:rPr>
          <w:sz w:val="22"/>
        </w:rPr>
        <w:t xml:space="preserve"> we propose the following:</w:t>
      </w:r>
    </w:p>
    <w:p w14:paraId="7779A83D" w14:textId="77777777" w:rsidR="00256A82" w:rsidRDefault="006E1C82">
      <w:pPr>
        <w:pStyle w:val="TableofFigures"/>
        <w:tabs>
          <w:tab w:val="right" w:leader="dot" w:pos="9629"/>
        </w:tabs>
        <w:rPr>
          <w:rFonts w:asciiTheme="minorHAnsi" w:eastAsiaTheme="minorEastAsia" w:hAnsiTheme="minorHAnsi"/>
          <w:b w:val="0"/>
          <w:noProof/>
          <w:sz w:val="22"/>
        </w:rPr>
      </w:pPr>
      <w:r w:rsidRPr="003C67C5">
        <w:rPr>
          <w:b w:val="0"/>
          <w:bCs/>
          <w:sz w:val="22"/>
        </w:rPr>
        <w:fldChar w:fldCharType="begin"/>
      </w:r>
      <w:r w:rsidRPr="003C67C5">
        <w:rPr>
          <w:b w:val="0"/>
          <w:bCs/>
          <w:sz w:val="22"/>
        </w:rPr>
        <w:instrText xml:space="preserve"> TOC \n \h \z \t "Proposal" \c </w:instrText>
      </w:r>
      <w:r w:rsidRPr="003C67C5">
        <w:rPr>
          <w:b w:val="0"/>
          <w:bCs/>
          <w:sz w:val="22"/>
        </w:rPr>
        <w:fldChar w:fldCharType="separate"/>
      </w:r>
      <w:hyperlink w:anchor="_Toc54365108" w:history="1">
        <w:r w:rsidR="00256A82" w:rsidRPr="00A104E7">
          <w:rPr>
            <w:rStyle w:val="Hyperlink"/>
            <w:noProof/>
          </w:rPr>
          <w:t>Proposal 1</w:t>
        </w:r>
        <w:r w:rsidR="00256A82">
          <w:rPr>
            <w:rFonts w:asciiTheme="minorHAnsi" w:eastAsiaTheme="minorEastAsia" w:hAnsiTheme="minorHAnsi"/>
            <w:b w:val="0"/>
            <w:noProof/>
            <w:sz w:val="22"/>
          </w:rPr>
          <w:tab/>
        </w:r>
        <w:r w:rsidR="00256A82" w:rsidRPr="00A104E7">
          <w:rPr>
            <w:rStyle w:val="Hyperlink"/>
            <w:noProof/>
          </w:rPr>
          <w:t>IoT NTN study should focus on essential adaptations for NTN, while generic enhancements motivated by non-NTN are outside the scope.</w:t>
        </w:r>
      </w:hyperlink>
    </w:p>
    <w:p w14:paraId="11383030"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09" w:history="1">
        <w:r w:rsidRPr="00A104E7">
          <w:rPr>
            <w:rStyle w:val="Hyperlink"/>
            <w:noProof/>
          </w:rPr>
          <w:t>Proposal 2</w:t>
        </w:r>
        <w:r>
          <w:rPr>
            <w:rFonts w:asciiTheme="minorHAnsi" w:eastAsiaTheme="minorEastAsia" w:hAnsiTheme="minorHAnsi"/>
            <w:b w:val="0"/>
            <w:noProof/>
            <w:sz w:val="22"/>
          </w:rPr>
          <w:tab/>
        </w:r>
        <w:r w:rsidRPr="00A104E7">
          <w:rPr>
            <w:rStyle w:val="Hyperlink"/>
            <w:noProof/>
          </w:rPr>
          <w:t xml:space="preserve">Rel-17 IoT NTN should </w:t>
        </w:r>
        <w:r w:rsidRPr="00A104E7">
          <w:rPr>
            <w:rStyle w:val="Hyperlink"/>
            <w:noProof/>
            <w:lang w:val="en-GB"/>
          </w:rPr>
          <w:t>support connectivity to EPC as the baseline.</w:t>
        </w:r>
      </w:hyperlink>
    </w:p>
    <w:p w14:paraId="339D5703"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10" w:history="1">
        <w:r w:rsidRPr="00A104E7">
          <w:rPr>
            <w:rStyle w:val="Hyperlink"/>
            <w:noProof/>
          </w:rPr>
          <w:t>Proposal 3</w:t>
        </w:r>
        <w:r>
          <w:rPr>
            <w:rFonts w:asciiTheme="minorHAnsi" w:eastAsiaTheme="minorEastAsia" w:hAnsiTheme="minorHAnsi"/>
            <w:b w:val="0"/>
            <w:noProof/>
            <w:sz w:val="22"/>
          </w:rPr>
          <w:tab/>
        </w:r>
        <w:r w:rsidRPr="00A104E7">
          <w:rPr>
            <w:rStyle w:val="Hyperlink"/>
            <w:noProof/>
          </w:rPr>
          <w:t>In Rel-17 IOT NTN SI, consider nominal S band (2 GHz) for evaluation purposes.</w:t>
        </w:r>
      </w:hyperlink>
    </w:p>
    <w:p w14:paraId="361FE30F"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11" w:history="1">
        <w:r w:rsidRPr="00A104E7">
          <w:rPr>
            <w:rStyle w:val="Hyperlink"/>
            <w:noProof/>
          </w:rPr>
          <w:t>Proposal 4</w:t>
        </w:r>
        <w:r>
          <w:rPr>
            <w:rFonts w:asciiTheme="minorHAnsi" w:eastAsiaTheme="minorEastAsia" w:hAnsiTheme="minorHAnsi"/>
            <w:b w:val="0"/>
            <w:noProof/>
            <w:sz w:val="22"/>
          </w:rPr>
          <w:tab/>
        </w:r>
        <w:r w:rsidRPr="00A104E7">
          <w:rPr>
            <w:rStyle w:val="Hyperlink"/>
            <w:noProof/>
          </w:rPr>
          <w:t>In Rel-17 IOT NTN SI, limit the focus to FDD only.</w:t>
        </w:r>
      </w:hyperlink>
    </w:p>
    <w:p w14:paraId="00568F8B"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12" w:history="1">
        <w:r w:rsidRPr="00A104E7">
          <w:rPr>
            <w:rStyle w:val="Hyperlink"/>
            <w:noProof/>
          </w:rPr>
          <w:t>Proposal 5</w:t>
        </w:r>
        <w:r>
          <w:rPr>
            <w:rFonts w:asciiTheme="minorHAnsi" w:eastAsiaTheme="minorEastAsia" w:hAnsiTheme="minorHAnsi"/>
            <w:b w:val="0"/>
            <w:noProof/>
            <w:sz w:val="22"/>
          </w:rPr>
          <w:tab/>
        </w:r>
        <w:r w:rsidRPr="00A104E7">
          <w:rPr>
            <w:rStyle w:val="Hyperlink"/>
            <w:noProof/>
          </w:rPr>
          <w:t>In Rel-17 IOT NTN SI, limit the focus to earth fixed beam.</w:t>
        </w:r>
      </w:hyperlink>
    </w:p>
    <w:p w14:paraId="13CD79DA" w14:textId="77777777" w:rsidR="00256A82" w:rsidRDefault="00256A82">
      <w:pPr>
        <w:pStyle w:val="TableofFigures"/>
        <w:tabs>
          <w:tab w:val="right" w:leader="dot" w:pos="9629"/>
        </w:tabs>
        <w:rPr>
          <w:rFonts w:asciiTheme="minorHAnsi" w:eastAsiaTheme="minorEastAsia" w:hAnsiTheme="minorHAnsi"/>
          <w:b w:val="0"/>
          <w:noProof/>
          <w:sz w:val="22"/>
        </w:rPr>
      </w:pPr>
      <w:hyperlink w:anchor="_Toc54365113" w:history="1">
        <w:r w:rsidRPr="00A104E7">
          <w:rPr>
            <w:rStyle w:val="Hyperlink"/>
            <w:noProof/>
          </w:rPr>
          <w:t>Proposal 6</w:t>
        </w:r>
        <w:r>
          <w:rPr>
            <w:rFonts w:asciiTheme="minorHAnsi" w:eastAsiaTheme="minorEastAsia" w:hAnsiTheme="minorHAnsi"/>
            <w:b w:val="0"/>
            <w:noProof/>
            <w:sz w:val="22"/>
          </w:rPr>
          <w:tab/>
        </w:r>
        <w:r w:rsidRPr="00A104E7">
          <w:rPr>
            <w:rStyle w:val="Hyperlink"/>
            <w:noProof/>
          </w:rPr>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hyperlink>
    </w:p>
    <w:p w14:paraId="58ACA235" w14:textId="4CC85612" w:rsidR="00C01F33" w:rsidRPr="003C67C5" w:rsidRDefault="006E1C82" w:rsidP="005F7FF0">
      <w:pPr>
        <w:pStyle w:val="BodyText"/>
        <w:rPr>
          <w:b/>
          <w:bCs/>
          <w:sz w:val="22"/>
        </w:rPr>
      </w:pPr>
      <w:r w:rsidRPr="003C67C5">
        <w:rPr>
          <w:b/>
          <w:bCs/>
          <w:sz w:val="22"/>
        </w:rPr>
        <w:fldChar w:fldCharType="end"/>
      </w:r>
    </w:p>
    <w:p w14:paraId="71D79D99" w14:textId="77777777" w:rsidR="00F507D1" w:rsidRPr="00CE0424" w:rsidRDefault="00F507D1" w:rsidP="00CE0424">
      <w:pPr>
        <w:pStyle w:val="Heading1"/>
      </w:pPr>
      <w:bookmarkStart w:id="15" w:name="_In-sequence_SDU_delivery"/>
      <w:bookmarkEnd w:id="15"/>
      <w:r w:rsidRPr="00CE0424">
        <w:t>References</w:t>
      </w:r>
    </w:p>
    <w:p w14:paraId="77C5E852" w14:textId="239AB920" w:rsidR="005F3025" w:rsidRPr="00E731A9" w:rsidRDefault="006131EF" w:rsidP="00311702">
      <w:pPr>
        <w:pStyle w:val="Reference"/>
        <w:rPr>
          <w:sz w:val="22"/>
        </w:rPr>
      </w:pPr>
      <w:bookmarkStart w:id="16" w:name="_Ref49798330"/>
      <w:bookmarkStart w:id="17" w:name="_Ref174151459"/>
      <w:bookmarkStart w:id="18" w:name="_Ref189809556"/>
      <w:r w:rsidRPr="00E731A9">
        <w:rPr>
          <w:sz w:val="22"/>
        </w:rPr>
        <w:t>RP-193235</w:t>
      </w:r>
      <w:r w:rsidR="005F3025" w:rsidRPr="00E731A9">
        <w:rPr>
          <w:sz w:val="22"/>
        </w:rPr>
        <w:t xml:space="preserve">, </w:t>
      </w:r>
      <w:r w:rsidRPr="00E731A9">
        <w:rPr>
          <w:sz w:val="22"/>
        </w:rPr>
        <w:t>Study on NB-IoT/</w:t>
      </w:r>
      <w:proofErr w:type="spellStart"/>
      <w:r w:rsidRPr="00E731A9">
        <w:rPr>
          <w:sz w:val="22"/>
        </w:rPr>
        <w:t>eMTC</w:t>
      </w:r>
      <w:proofErr w:type="spellEnd"/>
      <w:r w:rsidRPr="00E731A9">
        <w:rPr>
          <w:sz w:val="22"/>
        </w:rPr>
        <w:t xml:space="preserve"> support for Non-terrestrial </w:t>
      </w:r>
      <w:r w:rsidR="007B151C" w:rsidRPr="00E731A9">
        <w:rPr>
          <w:sz w:val="22"/>
        </w:rPr>
        <w:t>N</w:t>
      </w:r>
      <w:r w:rsidRPr="00E731A9">
        <w:rPr>
          <w:sz w:val="22"/>
        </w:rPr>
        <w:t>etwork</w:t>
      </w:r>
      <w:r w:rsidR="005F3025" w:rsidRPr="00E731A9">
        <w:rPr>
          <w:sz w:val="22"/>
        </w:rPr>
        <w:t xml:space="preserve">, </w:t>
      </w:r>
      <w:r w:rsidRPr="00E731A9">
        <w:rPr>
          <w:sz w:val="22"/>
        </w:rPr>
        <w:t>MediaTek Inc.</w:t>
      </w:r>
      <w:r w:rsidR="005F3025" w:rsidRPr="00E731A9">
        <w:rPr>
          <w:sz w:val="22"/>
        </w:rPr>
        <w:t xml:space="preserve">, </w:t>
      </w:r>
      <w:r w:rsidRPr="00E731A9">
        <w:rPr>
          <w:sz w:val="22"/>
        </w:rPr>
        <w:t>RAN#86</w:t>
      </w:r>
      <w:r w:rsidR="005F3025" w:rsidRPr="00E731A9">
        <w:rPr>
          <w:sz w:val="22"/>
        </w:rPr>
        <w:t>, D</w:t>
      </w:r>
      <w:r w:rsidRPr="00E731A9">
        <w:rPr>
          <w:sz w:val="22"/>
        </w:rPr>
        <w:t>ec 2019.</w:t>
      </w:r>
      <w:bookmarkEnd w:id="16"/>
    </w:p>
    <w:p w14:paraId="7E6E87CC" w14:textId="34CC7B0C" w:rsidR="005F3025" w:rsidRDefault="006131EF" w:rsidP="00311702">
      <w:pPr>
        <w:pStyle w:val="Reference"/>
        <w:rPr>
          <w:sz w:val="22"/>
        </w:rPr>
      </w:pPr>
      <w:bookmarkStart w:id="19" w:name="_Ref49798325"/>
      <w:r w:rsidRPr="00E731A9">
        <w:rPr>
          <w:sz w:val="22"/>
        </w:rPr>
        <w:t>TR</w:t>
      </w:r>
      <w:r w:rsidR="007B151C" w:rsidRPr="00E731A9">
        <w:rPr>
          <w:sz w:val="22"/>
        </w:rPr>
        <w:t xml:space="preserve"> </w:t>
      </w:r>
      <w:r w:rsidRPr="00E731A9">
        <w:rPr>
          <w:sz w:val="22"/>
        </w:rPr>
        <w:t>38.821</w:t>
      </w:r>
      <w:r w:rsidR="005F3025" w:rsidRPr="00E731A9">
        <w:rPr>
          <w:sz w:val="22"/>
        </w:rPr>
        <w:t xml:space="preserve">, </w:t>
      </w:r>
      <w:r w:rsidR="007B151C" w:rsidRPr="00E731A9">
        <w:rPr>
          <w:sz w:val="22"/>
        </w:rPr>
        <w:t>Solutions for NR to support Non-terrestrial Networks (NTN)</w:t>
      </w:r>
      <w:r w:rsidR="005F3025" w:rsidRPr="00E731A9">
        <w:rPr>
          <w:sz w:val="22"/>
        </w:rPr>
        <w:t xml:space="preserve">, </w:t>
      </w:r>
      <w:r w:rsidR="007B151C" w:rsidRPr="00E731A9">
        <w:rPr>
          <w:sz w:val="22"/>
        </w:rPr>
        <w:t>3GPP</w:t>
      </w:r>
      <w:r w:rsidR="005F3025" w:rsidRPr="00E731A9">
        <w:rPr>
          <w:sz w:val="22"/>
        </w:rPr>
        <w:t xml:space="preserve">, </w:t>
      </w:r>
      <w:r w:rsidR="000175BA" w:rsidRPr="00E731A9">
        <w:rPr>
          <w:sz w:val="22"/>
        </w:rPr>
        <w:t>V</w:t>
      </w:r>
      <w:r w:rsidR="007B151C" w:rsidRPr="00E731A9">
        <w:rPr>
          <w:sz w:val="22"/>
        </w:rPr>
        <w:t>16.0.0</w:t>
      </w:r>
      <w:r w:rsidR="005F3025" w:rsidRPr="00E731A9">
        <w:rPr>
          <w:sz w:val="22"/>
        </w:rPr>
        <w:t xml:space="preserve">, </w:t>
      </w:r>
      <w:r w:rsidR="007B151C" w:rsidRPr="00E731A9">
        <w:rPr>
          <w:sz w:val="22"/>
        </w:rPr>
        <w:t>Jan 2016.</w:t>
      </w:r>
      <w:bookmarkEnd w:id="19"/>
    </w:p>
    <w:p w14:paraId="23994EC2" w14:textId="7EF6BC9C" w:rsidR="00E744BA" w:rsidRPr="0024791E" w:rsidRDefault="00E744BA" w:rsidP="00311702">
      <w:pPr>
        <w:pStyle w:val="Reference"/>
        <w:rPr>
          <w:sz w:val="22"/>
        </w:rPr>
      </w:pPr>
      <w:r w:rsidRPr="0024791E">
        <w:rPr>
          <w:sz w:val="22"/>
        </w:rPr>
        <w:t>3GPP TR 38.913, “Study on scenarios and requirements for next generation access technologies,” version 1</w:t>
      </w:r>
      <w:r w:rsidR="00A611BF" w:rsidRPr="0024791E">
        <w:rPr>
          <w:sz w:val="22"/>
        </w:rPr>
        <w:t>6</w:t>
      </w:r>
      <w:r w:rsidRPr="0024791E">
        <w:rPr>
          <w:sz w:val="22"/>
        </w:rPr>
        <w:t>.0.0, July 20</w:t>
      </w:r>
      <w:r w:rsidR="00A611BF" w:rsidRPr="0024791E">
        <w:rPr>
          <w:sz w:val="22"/>
        </w:rPr>
        <w:t>20</w:t>
      </w:r>
      <w:r w:rsidRPr="0024791E">
        <w:rPr>
          <w:sz w:val="22"/>
        </w:rPr>
        <w:t>.</w:t>
      </w:r>
    </w:p>
    <w:p w14:paraId="0D888858" w14:textId="4A707CD8" w:rsidR="00877379" w:rsidRPr="00E731A9" w:rsidRDefault="00877379" w:rsidP="00877379">
      <w:pPr>
        <w:pStyle w:val="Reference"/>
        <w:rPr>
          <w:sz w:val="22"/>
        </w:rPr>
      </w:pPr>
      <w:bookmarkStart w:id="20" w:name="_Ref51243098"/>
      <w:r w:rsidRPr="00E731A9">
        <w:rPr>
          <w:rFonts w:cs="Arial"/>
          <w:color w:val="222222"/>
          <w:sz w:val="22"/>
          <w:shd w:val="clear" w:color="auto" w:fill="FFFFFF"/>
        </w:rPr>
        <w:t xml:space="preserve">A. </w:t>
      </w:r>
      <w:proofErr w:type="spellStart"/>
      <w:r w:rsidRPr="00E731A9">
        <w:rPr>
          <w:rFonts w:cs="Arial"/>
          <w:color w:val="222222"/>
          <w:sz w:val="22"/>
          <w:shd w:val="clear" w:color="auto" w:fill="FFFFFF"/>
        </w:rPr>
        <w:t>Hoglund</w:t>
      </w:r>
      <w:proofErr w:type="spellEnd"/>
      <w:r w:rsidRPr="00E731A9">
        <w:rPr>
          <w:rFonts w:cs="Arial"/>
          <w:color w:val="222222"/>
          <w:sz w:val="22"/>
          <w:shd w:val="clear" w:color="auto" w:fill="FFFFFF"/>
        </w:rPr>
        <w:t>, J. Bergman, X. Lin, O. Liberg, A. Ratilainen, H. S. Razaghi, T. Tirronen, E. Yavuz</w:t>
      </w:r>
      <w:r w:rsidRPr="00E731A9">
        <w:rPr>
          <w:rFonts w:cs="Arial"/>
          <w:color w:val="333333"/>
          <w:sz w:val="22"/>
          <w:shd w:val="clear" w:color="auto" w:fill="FFFFFF"/>
        </w:rPr>
        <w:t xml:space="preserve">, "Overview of 3GPP Release 14 Further Enhanced MTC," </w:t>
      </w:r>
      <w:r w:rsidRPr="00E731A9">
        <w:rPr>
          <w:rStyle w:val="Emphasis"/>
          <w:rFonts w:cs="Arial"/>
          <w:color w:val="333333"/>
          <w:sz w:val="22"/>
          <w:shd w:val="clear" w:color="auto" w:fill="FFFFFF"/>
        </w:rPr>
        <w:t>IEEE Communications Standards Magazine</w:t>
      </w:r>
      <w:r w:rsidRPr="00E731A9">
        <w:rPr>
          <w:rFonts w:cs="Arial"/>
          <w:color w:val="333333"/>
          <w:sz w:val="22"/>
          <w:shd w:val="clear" w:color="auto" w:fill="FFFFFF"/>
        </w:rPr>
        <w:t>, vol. 2, no. 2, pp. 84-89, June 2018.</w:t>
      </w:r>
      <w:bookmarkEnd w:id="20"/>
    </w:p>
    <w:p w14:paraId="7AD17686" w14:textId="10DE05A7" w:rsidR="00877379" w:rsidRPr="00E731A9" w:rsidRDefault="00877379" w:rsidP="00877379">
      <w:pPr>
        <w:pStyle w:val="Reference"/>
        <w:rPr>
          <w:sz w:val="22"/>
        </w:rPr>
      </w:pPr>
      <w:bookmarkStart w:id="21" w:name="_Ref51243406"/>
      <w:r w:rsidRPr="00E731A9">
        <w:rPr>
          <w:rFonts w:cs="Arial"/>
          <w:color w:val="222222"/>
          <w:sz w:val="22"/>
          <w:shd w:val="clear" w:color="auto" w:fill="FFFFFF"/>
        </w:rPr>
        <w:t xml:space="preserve">Y.P.E. Wang, X. Lin, A. Adhikary, A. </w:t>
      </w:r>
      <w:proofErr w:type="spellStart"/>
      <w:r w:rsidRPr="00E731A9">
        <w:rPr>
          <w:rFonts w:cs="Arial"/>
          <w:color w:val="222222"/>
          <w:sz w:val="22"/>
          <w:shd w:val="clear" w:color="auto" w:fill="FFFFFF"/>
        </w:rPr>
        <w:t>Grovlen</w:t>
      </w:r>
      <w:proofErr w:type="spellEnd"/>
      <w:r w:rsidRPr="00E731A9">
        <w:rPr>
          <w:rFonts w:cs="Arial"/>
          <w:color w:val="222222"/>
          <w:sz w:val="22"/>
          <w:shd w:val="clear" w:color="auto" w:fill="FFFFFF"/>
        </w:rPr>
        <w:t xml:space="preserve">, Y. Sui, Y. Blankenship, J. Bergman, and H.S. Razaghi, </w:t>
      </w:r>
      <w:r w:rsidRPr="00E731A9">
        <w:rPr>
          <w:sz w:val="22"/>
        </w:rPr>
        <w:t xml:space="preserve">"A Primer on 3GPP Narrowband Internet of Things," </w:t>
      </w:r>
      <w:r w:rsidRPr="00E731A9">
        <w:rPr>
          <w:i/>
          <w:iCs/>
          <w:sz w:val="22"/>
        </w:rPr>
        <w:t>IEEE Communications Magazine</w:t>
      </w:r>
      <w:r w:rsidRPr="00E731A9">
        <w:rPr>
          <w:sz w:val="22"/>
        </w:rPr>
        <w:t>, vol. 55, no. 3, pp. 117-123, March 2017.</w:t>
      </w:r>
      <w:bookmarkEnd w:id="21"/>
    </w:p>
    <w:p w14:paraId="4C84AE2A" w14:textId="339DD3C0" w:rsidR="000175BA" w:rsidRPr="00E731A9" w:rsidRDefault="000175BA" w:rsidP="000175BA">
      <w:pPr>
        <w:pStyle w:val="Reference"/>
        <w:rPr>
          <w:sz w:val="22"/>
        </w:rPr>
      </w:pPr>
      <w:bookmarkStart w:id="22" w:name="_Ref51251630"/>
      <w:bookmarkStart w:id="23" w:name="_Ref51251276"/>
      <w:r w:rsidRPr="00E731A9">
        <w:rPr>
          <w:sz w:val="22"/>
        </w:rPr>
        <w:t xml:space="preserve">TR 36.888, Machine-Type Communications (MTC) User </w:t>
      </w:r>
      <w:proofErr w:type="spellStart"/>
      <w:r w:rsidRPr="00E731A9">
        <w:rPr>
          <w:sz w:val="22"/>
        </w:rPr>
        <w:t>Equipments</w:t>
      </w:r>
      <w:proofErr w:type="spellEnd"/>
      <w:r w:rsidRPr="00E731A9">
        <w:rPr>
          <w:sz w:val="22"/>
        </w:rPr>
        <w:t xml:space="preserve"> (UEs) based on LTE, 3GPP, V12.0.0, June 2013.</w:t>
      </w:r>
      <w:bookmarkEnd w:id="22"/>
    </w:p>
    <w:p w14:paraId="715CA09B" w14:textId="32C12902" w:rsidR="003A7EF3" w:rsidRDefault="00882074" w:rsidP="00CE0424">
      <w:pPr>
        <w:pStyle w:val="Reference"/>
        <w:rPr>
          <w:sz w:val="22"/>
        </w:rPr>
      </w:pPr>
      <w:bookmarkStart w:id="24" w:name="_Ref51251643"/>
      <w:r w:rsidRPr="00E731A9">
        <w:rPr>
          <w:sz w:val="22"/>
        </w:rPr>
        <w:lastRenderedPageBreak/>
        <w:t xml:space="preserve">TR </w:t>
      </w:r>
      <w:r w:rsidR="000175BA" w:rsidRPr="00E731A9">
        <w:rPr>
          <w:sz w:val="22"/>
        </w:rPr>
        <w:t>45.820</w:t>
      </w:r>
      <w:r w:rsidRPr="00E731A9">
        <w:rPr>
          <w:sz w:val="22"/>
        </w:rPr>
        <w:t xml:space="preserve">, </w:t>
      </w:r>
      <w:r w:rsidR="000175BA" w:rsidRPr="00E731A9">
        <w:rPr>
          <w:sz w:val="22"/>
        </w:rPr>
        <w:t>Cellular system support for ultra-low complexity and low throughput Internet of Things (</w:t>
      </w:r>
      <w:proofErr w:type="spellStart"/>
      <w:r w:rsidR="000175BA" w:rsidRPr="00E731A9">
        <w:rPr>
          <w:sz w:val="22"/>
        </w:rPr>
        <w:t>CIoT</w:t>
      </w:r>
      <w:proofErr w:type="spellEnd"/>
      <w:r w:rsidR="000175BA" w:rsidRPr="00E731A9">
        <w:rPr>
          <w:sz w:val="22"/>
        </w:rPr>
        <w:t xml:space="preserve">), </w:t>
      </w:r>
      <w:r w:rsidRPr="00E731A9">
        <w:rPr>
          <w:sz w:val="22"/>
        </w:rPr>
        <w:t xml:space="preserve">3GPP, </w:t>
      </w:r>
      <w:r w:rsidR="000175BA" w:rsidRPr="00E731A9">
        <w:rPr>
          <w:sz w:val="22"/>
        </w:rPr>
        <w:t>V</w:t>
      </w:r>
      <w:r w:rsidRPr="00E731A9">
        <w:rPr>
          <w:sz w:val="22"/>
        </w:rPr>
        <w:t>1</w:t>
      </w:r>
      <w:r w:rsidR="000175BA" w:rsidRPr="00E731A9">
        <w:rPr>
          <w:sz w:val="22"/>
        </w:rPr>
        <w:t>3</w:t>
      </w:r>
      <w:r w:rsidRPr="00E731A9">
        <w:rPr>
          <w:sz w:val="22"/>
        </w:rPr>
        <w:t>.</w:t>
      </w:r>
      <w:r w:rsidR="000175BA" w:rsidRPr="00E731A9">
        <w:rPr>
          <w:sz w:val="22"/>
        </w:rPr>
        <w:t>1</w:t>
      </w:r>
      <w:r w:rsidRPr="00E731A9">
        <w:rPr>
          <w:sz w:val="22"/>
        </w:rPr>
        <w:t xml:space="preserve">.0, </w:t>
      </w:r>
      <w:r w:rsidR="000175BA" w:rsidRPr="00E731A9">
        <w:rPr>
          <w:sz w:val="22"/>
        </w:rPr>
        <w:t>November</w:t>
      </w:r>
      <w:r w:rsidRPr="00E731A9">
        <w:rPr>
          <w:sz w:val="22"/>
        </w:rPr>
        <w:t xml:space="preserve"> 201</w:t>
      </w:r>
      <w:r w:rsidR="000175BA" w:rsidRPr="00E731A9">
        <w:rPr>
          <w:sz w:val="22"/>
        </w:rPr>
        <w:t>5</w:t>
      </w:r>
      <w:r w:rsidRPr="00E731A9">
        <w:rPr>
          <w:sz w:val="22"/>
        </w:rPr>
        <w:t>.</w:t>
      </w:r>
      <w:bookmarkEnd w:id="17"/>
      <w:bookmarkEnd w:id="18"/>
      <w:bookmarkEnd w:id="23"/>
      <w:bookmarkEnd w:id="24"/>
    </w:p>
    <w:p w14:paraId="374F136F" w14:textId="527E1E80" w:rsidR="00E1287F" w:rsidRPr="0024791E" w:rsidRDefault="00E1287F" w:rsidP="00CE0424">
      <w:pPr>
        <w:pStyle w:val="Reference"/>
        <w:rPr>
          <w:sz w:val="22"/>
        </w:rPr>
      </w:pPr>
      <w:bookmarkStart w:id="25" w:name="_Ref53919661"/>
      <w:r w:rsidRPr="0024791E">
        <w:rPr>
          <w:sz w:val="22"/>
        </w:rPr>
        <w:t>R1-20</w:t>
      </w:r>
      <w:r w:rsidR="0024791E" w:rsidRPr="0024791E">
        <w:rPr>
          <w:sz w:val="22"/>
        </w:rPr>
        <w:t>09090</w:t>
      </w:r>
      <w:r w:rsidRPr="0024791E">
        <w:rPr>
          <w:sz w:val="22"/>
        </w:rPr>
        <w:t xml:space="preserve">, On evaluation assumptions for </w:t>
      </w:r>
      <w:proofErr w:type="spellStart"/>
      <w:r w:rsidRPr="0024791E">
        <w:rPr>
          <w:sz w:val="22"/>
        </w:rPr>
        <w:t>eMTC</w:t>
      </w:r>
      <w:proofErr w:type="spellEnd"/>
      <w:r w:rsidRPr="0024791E">
        <w:rPr>
          <w:sz w:val="22"/>
        </w:rPr>
        <w:t xml:space="preserve"> and NB-IoT based NTN, RAN1#103-e, Ericsson.</w:t>
      </w:r>
      <w:bookmarkEnd w:id="25"/>
      <w:bookmarkEnd w:id="0"/>
    </w:p>
    <w:sectPr w:rsidR="00E1287F" w:rsidRPr="0024791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E89F4F9" w16cex:dateUtc="2020-09-22T06:51:00Z"/>
  <w16cex:commentExtensible w16cex:durableId="63656582" w16cex:dateUtc="2020-09-22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7B76C" w14:textId="77777777" w:rsidR="00A1187C" w:rsidRDefault="00A1187C">
      <w:r>
        <w:separator/>
      </w:r>
    </w:p>
  </w:endnote>
  <w:endnote w:type="continuationSeparator" w:id="0">
    <w:p w14:paraId="55972435" w14:textId="77777777" w:rsidR="00A1187C" w:rsidRDefault="00A1187C">
      <w:r>
        <w:continuationSeparator/>
      </w:r>
    </w:p>
  </w:endnote>
  <w:endnote w:type="continuationNotice" w:id="1">
    <w:p w14:paraId="2E6C7CF8" w14:textId="77777777" w:rsidR="00A1187C" w:rsidRDefault="00A118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A1187C" w:rsidRDefault="00A118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94B7A" w14:textId="77777777" w:rsidR="00A1187C" w:rsidRDefault="00A1187C">
      <w:r>
        <w:separator/>
      </w:r>
    </w:p>
  </w:footnote>
  <w:footnote w:type="continuationSeparator" w:id="0">
    <w:p w14:paraId="0740C3B8" w14:textId="77777777" w:rsidR="00A1187C" w:rsidRDefault="00A1187C">
      <w:r>
        <w:continuationSeparator/>
      </w:r>
    </w:p>
  </w:footnote>
  <w:footnote w:type="continuationNotice" w:id="1">
    <w:p w14:paraId="7353146C" w14:textId="77777777" w:rsidR="00A1187C" w:rsidRDefault="00A118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A1187C" w:rsidRDefault="00A118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6"/>
  </w:num>
  <w:num w:numId="21">
    <w:abstractNumId w:val="11"/>
  </w:num>
  <w:num w:numId="22">
    <w:abstractNumId w:val="24"/>
  </w:num>
  <w:num w:numId="23">
    <w:abstractNumId w:val="17"/>
  </w:num>
  <w:num w:numId="24">
    <w:abstractNumId w:val="23"/>
  </w:num>
  <w:num w:numId="25">
    <w:abstractNumId w:val="5"/>
  </w:num>
  <w:num w:numId="26">
    <w:abstractNumId w:val="12"/>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75B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7EE"/>
    <w:rsid w:val="000E1E92"/>
    <w:rsid w:val="000E4B51"/>
    <w:rsid w:val="000F06D6"/>
    <w:rsid w:val="000F0CEA"/>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7C6"/>
    <w:rsid w:val="00135806"/>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BEE"/>
    <w:rsid w:val="001A6CBA"/>
    <w:rsid w:val="001B0D97"/>
    <w:rsid w:val="001B41A8"/>
    <w:rsid w:val="001B5A5D"/>
    <w:rsid w:val="001C1CE5"/>
    <w:rsid w:val="001C3D2A"/>
    <w:rsid w:val="001D5117"/>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47D"/>
    <w:rsid w:val="00235632"/>
    <w:rsid w:val="00235872"/>
    <w:rsid w:val="00241559"/>
    <w:rsid w:val="002435B3"/>
    <w:rsid w:val="002458EB"/>
    <w:rsid w:val="0024791E"/>
    <w:rsid w:val="002500C8"/>
    <w:rsid w:val="00256A82"/>
    <w:rsid w:val="00257543"/>
    <w:rsid w:val="002617E7"/>
    <w:rsid w:val="00264228"/>
    <w:rsid w:val="00264334"/>
    <w:rsid w:val="0026473E"/>
    <w:rsid w:val="00266214"/>
    <w:rsid w:val="00267C83"/>
    <w:rsid w:val="00270365"/>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01F"/>
    <w:rsid w:val="002C41E6"/>
    <w:rsid w:val="002D071A"/>
    <w:rsid w:val="002D208E"/>
    <w:rsid w:val="002D34B2"/>
    <w:rsid w:val="002D48B0"/>
    <w:rsid w:val="002D4F3C"/>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430"/>
    <w:rsid w:val="00342BD7"/>
    <w:rsid w:val="0034635E"/>
    <w:rsid w:val="00346DB5"/>
    <w:rsid w:val="003477B1"/>
    <w:rsid w:val="003536AA"/>
    <w:rsid w:val="00357380"/>
    <w:rsid w:val="003602D9"/>
    <w:rsid w:val="003604CE"/>
    <w:rsid w:val="00370E47"/>
    <w:rsid w:val="003742AC"/>
    <w:rsid w:val="00377CE1"/>
    <w:rsid w:val="00385BF0"/>
    <w:rsid w:val="003939FF"/>
    <w:rsid w:val="003A184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066"/>
    <w:rsid w:val="003C67C5"/>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28E"/>
    <w:rsid w:val="00421105"/>
    <w:rsid w:val="00422AA4"/>
    <w:rsid w:val="004242F4"/>
    <w:rsid w:val="00427248"/>
    <w:rsid w:val="00432DB7"/>
    <w:rsid w:val="00437447"/>
    <w:rsid w:val="00441A92"/>
    <w:rsid w:val="004431DC"/>
    <w:rsid w:val="00444F56"/>
    <w:rsid w:val="00446488"/>
    <w:rsid w:val="004517AA"/>
    <w:rsid w:val="00452CAC"/>
    <w:rsid w:val="00457565"/>
    <w:rsid w:val="00457B71"/>
    <w:rsid w:val="00464689"/>
    <w:rsid w:val="004669E2"/>
    <w:rsid w:val="00470994"/>
    <w:rsid w:val="00470C31"/>
    <w:rsid w:val="00471C3D"/>
    <w:rsid w:val="00471DE0"/>
    <w:rsid w:val="004734D0"/>
    <w:rsid w:val="0047556B"/>
    <w:rsid w:val="00477768"/>
    <w:rsid w:val="00492BC5"/>
    <w:rsid w:val="004964F1"/>
    <w:rsid w:val="00497726"/>
    <w:rsid w:val="004A16BC"/>
    <w:rsid w:val="004A2B94"/>
    <w:rsid w:val="004B6F6A"/>
    <w:rsid w:val="004B7C0C"/>
    <w:rsid w:val="004C3898"/>
    <w:rsid w:val="004C6B3A"/>
    <w:rsid w:val="004D36B1"/>
    <w:rsid w:val="004D7EBD"/>
    <w:rsid w:val="004E2680"/>
    <w:rsid w:val="004E27A8"/>
    <w:rsid w:val="004E28F9"/>
    <w:rsid w:val="004E462E"/>
    <w:rsid w:val="004E56DC"/>
    <w:rsid w:val="004E76F4"/>
    <w:rsid w:val="004F0B4E"/>
    <w:rsid w:val="004F0B6C"/>
    <w:rsid w:val="004F2078"/>
    <w:rsid w:val="004F4DA3"/>
    <w:rsid w:val="00506557"/>
    <w:rsid w:val="0050677A"/>
    <w:rsid w:val="005108D8"/>
    <w:rsid w:val="005116F9"/>
    <w:rsid w:val="005153A7"/>
    <w:rsid w:val="005207F4"/>
    <w:rsid w:val="005219CF"/>
    <w:rsid w:val="00534B59"/>
    <w:rsid w:val="00536759"/>
    <w:rsid w:val="00537C62"/>
    <w:rsid w:val="005419A2"/>
    <w:rsid w:val="00546970"/>
    <w:rsid w:val="00550794"/>
    <w:rsid w:val="005542DB"/>
    <w:rsid w:val="00554E19"/>
    <w:rsid w:val="0056121F"/>
    <w:rsid w:val="00572505"/>
    <w:rsid w:val="00582809"/>
    <w:rsid w:val="0058794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FF0"/>
    <w:rsid w:val="0060283C"/>
    <w:rsid w:val="00604F14"/>
    <w:rsid w:val="00611B83"/>
    <w:rsid w:val="006131EF"/>
    <w:rsid w:val="00613257"/>
    <w:rsid w:val="00620A71"/>
    <w:rsid w:val="00620D80"/>
    <w:rsid w:val="006234A6"/>
    <w:rsid w:val="00626A77"/>
    <w:rsid w:val="00630001"/>
    <w:rsid w:val="006311B3"/>
    <w:rsid w:val="0063284C"/>
    <w:rsid w:val="00636398"/>
    <w:rsid w:val="006368D3"/>
    <w:rsid w:val="006377EC"/>
    <w:rsid w:val="0064151F"/>
    <w:rsid w:val="00641533"/>
    <w:rsid w:val="006418F7"/>
    <w:rsid w:val="0064208D"/>
    <w:rsid w:val="00643475"/>
    <w:rsid w:val="0064396A"/>
    <w:rsid w:val="006451E5"/>
    <w:rsid w:val="0064624E"/>
    <w:rsid w:val="00650AB9"/>
    <w:rsid w:val="00655733"/>
    <w:rsid w:val="00655ACD"/>
    <w:rsid w:val="00656A92"/>
    <w:rsid w:val="00656DDE"/>
    <w:rsid w:val="0066011D"/>
    <w:rsid w:val="006607C0"/>
    <w:rsid w:val="006613A6"/>
    <w:rsid w:val="006627A2"/>
    <w:rsid w:val="006634E6"/>
    <w:rsid w:val="00663864"/>
    <w:rsid w:val="006655EE"/>
    <w:rsid w:val="00667EE7"/>
    <w:rsid w:val="00670922"/>
    <w:rsid w:val="00670BE1"/>
    <w:rsid w:val="0067218F"/>
    <w:rsid w:val="006741F2"/>
    <w:rsid w:val="00674CC3"/>
    <w:rsid w:val="00675C72"/>
    <w:rsid w:val="006771F9"/>
    <w:rsid w:val="006776D7"/>
    <w:rsid w:val="0067793C"/>
    <w:rsid w:val="00681003"/>
    <w:rsid w:val="006817C9"/>
    <w:rsid w:val="00683ECE"/>
    <w:rsid w:val="00695FC2"/>
    <w:rsid w:val="00696949"/>
    <w:rsid w:val="00697052"/>
    <w:rsid w:val="006A46FB"/>
    <w:rsid w:val="006A5E28"/>
    <w:rsid w:val="006A697B"/>
    <w:rsid w:val="006A6CCD"/>
    <w:rsid w:val="006A7AFF"/>
    <w:rsid w:val="006B1816"/>
    <w:rsid w:val="006B2099"/>
    <w:rsid w:val="006B3BBF"/>
    <w:rsid w:val="006B50CF"/>
    <w:rsid w:val="006C03B8"/>
    <w:rsid w:val="006C5EC9"/>
    <w:rsid w:val="006C6059"/>
    <w:rsid w:val="006C643D"/>
    <w:rsid w:val="006C7522"/>
    <w:rsid w:val="006D6F08"/>
    <w:rsid w:val="006E062C"/>
    <w:rsid w:val="006E1C82"/>
    <w:rsid w:val="006E28B7"/>
    <w:rsid w:val="006E2A9B"/>
    <w:rsid w:val="006E3310"/>
    <w:rsid w:val="006E3619"/>
    <w:rsid w:val="006E4E39"/>
    <w:rsid w:val="006E565E"/>
    <w:rsid w:val="006E673D"/>
    <w:rsid w:val="006E7D3B"/>
    <w:rsid w:val="006F1B70"/>
    <w:rsid w:val="006F341D"/>
    <w:rsid w:val="006F3CDE"/>
    <w:rsid w:val="006F58D4"/>
    <w:rsid w:val="006F6582"/>
    <w:rsid w:val="006F6AAE"/>
    <w:rsid w:val="0070346E"/>
    <w:rsid w:val="0070366E"/>
    <w:rsid w:val="00704EDB"/>
    <w:rsid w:val="00706101"/>
    <w:rsid w:val="00707072"/>
    <w:rsid w:val="00707D61"/>
    <w:rsid w:val="00712287"/>
    <w:rsid w:val="00712772"/>
    <w:rsid w:val="007148D3"/>
    <w:rsid w:val="00715B9A"/>
    <w:rsid w:val="00721B32"/>
    <w:rsid w:val="0072403C"/>
    <w:rsid w:val="007257D0"/>
    <w:rsid w:val="00725BB7"/>
    <w:rsid w:val="00726EA6"/>
    <w:rsid w:val="00727208"/>
    <w:rsid w:val="00727680"/>
    <w:rsid w:val="007348B1"/>
    <w:rsid w:val="007362A6"/>
    <w:rsid w:val="00736D7D"/>
    <w:rsid w:val="00740E58"/>
    <w:rsid w:val="007445A0"/>
    <w:rsid w:val="0074524B"/>
    <w:rsid w:val="00747D8B"/>
    <w:rsid w:val="00750505"/>
    <w:rsid w:val="00751228"/>
    <w:rsid w:val="007546AE"/>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151C"/>
    <w:rsid w:val="007B3D2D"/>
    <w:rsid w:val="007B50AE"/>
    <w:rsid w:val="007B51DF"/>
    <w:rsid w:val="007C05DD"/>
    <w:rsid w:val="007C3D18"/>
    <w:rsid w:val="007C4D82"/>
    <w:rsid w:val="007C60BF"/>
    <w:rsid w:val="007C6350"/>
    <w:rsid w:val="007C6A07"/>
    <w:rsid w:val="007C75A1"/>
    <w:rsid w:val="007C77A5"/>
    <w:rsid w:val="007D04E5"/>
    <w:rsid w:val="007D5901"/>
    <w:rsid w:val="007D7526"/>
    <w:rsid w:val="007E4610"/>
    <w:rsid w:val="007E4715"/>
    <w:rsid w:val="007E505B"/>
    <w:rsid w:val="007E7091"/>
    <w:rsid w:val="00803FAE"/>
    <w:rsid w:val="0080605F"/>
    <w:rsid w:val="00807786"/>
    <w:rsid w:val="0080794D"/>
    <w:rsid w:val="00811FCB"/>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379"/>
    <w:rsid w:val="00877F18"/>
    <w:rsid w:val="00882074"/>
    <w:rsid w:val="008941E3"/>
    <w:rsid w:val="00894A88"/>
    <w:rsid w:val="00895386"/>
    <w:rsid w:val="008A21FF"/>
    <w:rsid w:val="008A2CE2"/>
    <w:rsid w:val="008A2DB9"/>
    <w:rsid w:val="008A30AC"/>
    <w:rsid w:val="008A44B8"/>
    <w:rsid w:val="008A4DCC"/>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317"/>
    <w:rsid w:val="008E1909"/>
    <w:rsid w:val="008F1C4E"/>
    <w:rsid w:val="008F1EAB"/>
    <w:rsid w:val="008F23FF"/>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7E3E"/>
    <w:rsid w:val="00931BD9"/>
    <w:rsid w:val="009368F3"/>
    <w:rsid w:val="00937272"/>
    <w:rsid w:val="00941636"/>
    <w:rsid w:val="00943742"/>
    <w:rsid w:val="00945C05"/>
    <w:rsid w:val="00946945"/>
    <w:rsid w:val="00947713"/>
    <w:rsid w:val="00950DE7"/>
    <w:rsid w:val="00953702"/>
    <w:rsid w:val="00953920"/>
    <w:rsid w:val="00953D47"/>
    <w:rsid w:val="0095654C"/>
    <w:rsid w:val="0095681E"/>
    <w:rsid w:val="009572D1"/>
    <w:rsid w:val="009572D4"/>
    <w:rsid w:val="0096138C"/>
    <w:rsid w:val="00961921"/>
    <w:rsid w:val="0096310E"/>
    <w:rsid w:val="0096430A"/>
    <w:rsid w:val="0096554B"/>
    <w:rsid w:val="0096584A"/>
    <w:rsid w:val="0097194B"/>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53D"/>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187C"/>
    <w:rsid w:val="00A13E54"/>
    <w:rsid w:val="00A17F63"/>
    <w:rsid w:val="00A2193B"/>
    <w:rsid w:val="00A2351A"/>
    <w:rsid w:val="00A264A9"/>
    <w:rsid w:val="00A26DCF"/>
    <w:rsid w:val="00A27785"/>
    <w:rsid w:val="00A30187"/>
    <w:rsid w:val="00A3448A"/>
    <w:rsid w:val="00A34770"/>
    <w:rsid w:val="00A36297"/>
    <w:rsid w:val="00A41E2B"/>
    <w:rsid w:val="00A45B74"/>
    <w:rsid w:val="00A52E1D"/>
    <w:rsid w:val="00A57255"/>
    <w:rsid w:val="00A611BF"/>
    <w:rsid w:val="00A61499"/>
    <w:rsid w:val="00A62A77"/>
    <w:rsid w:val="00A63483"/>
    <w:rsid w:val="00A657D7"/>
    <w:rsid w:val="00A660AC"/>
    <w:rsid w:val="00A669DC"/>
    <w:rsid w:val="00A67E6C"/>
    <w:rsid w:val="00A71B99"/>
    <w:rsid w:val="00A739D0"/>
    <w:rsid w:val="00A761D4"/>
    <w:rsid w:val="00A77EC4"/>
    <w:rsid w:val="00A857DE"/>
    <w:rsid w:val="00A91BA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61E9"/>
    <w:rsid w:val="00AF0D36"/>
    <w:rsid w:val="00AF1C5D"/>
    <w:rsid w:val="00AF42D7"/>
    <w:rsid w:val="00AF6032"/>
    <w:rsid w:val="00B006FE"/>
    <w:rsid w:val="00B007CB"/>
    <w:rsid w:val="00B02AA9"/>
    <w:rsid w:val="00B02FA3"/>
    <w:rsid w:val="00B05084"/>
    <w:rsid w:val="00B157F9"/>
    <w:rsid w:val="00B20256"/>
    <w:rsid w:val="00B205C2"/>
    <w:rsid w:val="00B20D09"/>
    <w:rsid w:val="00B2763F"/>
    <w:rsid w:val="00B277FE"/>
    <w:rsid w:val="00B27AAC"/>
    <w:rsid w:val="00B30929"/>
    <w:rsid w:val="00B372AA"/>
    <w:rsid w:val="00B40445"/>
    <w:rsid w:val="00B409E0"/>
    <w:rsid w:val="00B41888"/>
    <w:rsid w:val="00B45A52"/>
    <w:rsid w:val="00B46175"/>
    <w:rsid w:val="00B548B7"/>
    <w:rsid w:val="00B664C7"/>
    <w:rsid w:val="00B713D8"/>
    <w:rsid w:val="00B739F6"/>
    <w:rsid w:val="00B77F5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4F1F"/>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223"/>
    <w:rsid w:val="00C279B5"/>
    <w:rsid w:val="00C27C45"/>
    <w:rsid w:val="00C3719D"/>
    <w:rsid w:val="00C37CB2"/>
    <w:rsid w:val="00C473A5"/>
    <w:rsid w:val="00C54995"/>
    <w:rsid w:val="00C54D41"/>
    <w:rsid w:val="00C56E72"/>
    <w:rsid w:val="00C60783"/>
    <w:rsid w:val="00C64672"/>
    <w:rsid w:val="00C70697"/>
    <w:rsid w:val="00C72093"/>
    <w:rsid w:val="00C72EF4"/>
    <w:rsid w:val="00C744FE"/>
    <w:rsid w:val="00C75D2F"/>
    <w:rsid w:val="00C767BE"/>
    <w:rsid w:val="00C76E3C"/>
    <w:rsid w:val="00C81568"/>
    <w:rsid w:val="00C84579"/>
    <w:rsid w:val="00C9027A"/>
    <w:rsid w:val="00C9068E"/>
    <w:rsid w:val="00C93814"/>
    <w:rsid w:val="00C93C4B"/>
    <w:rsid w:val="00C944AB"/>
    <w:rsid w:val="00C95B40"/>
    <w:rsid w:val="00C96143"/>
    <w:rsid w:val="00CA1ED8"/>
    <w:rsid w:val="00CA263B"/>
    <w:rsid w:val="00CB1F63"/>
    <w:rsid w:val="00CB5BFE"/>
    <w:rsid w:val="00CB7170"/>
    <w:rsid w:val="00CC022D"/>
    <w:rsid w:val="00CC040E"/>
    <w:rsid w:val="00CC111F"/>
    <w:rsid w:val="00CC2011"/>
    <w:rsid w:val="00CC25C7"/>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00E"/>
    <w:rsid w:val="00D546FF"/>
    <w:rsid w:val="00D55AD5"/>
    <w:rsid w:val="00D576CA"/>
    <w:rsid w:val="00D61AF5"/>
    <w:rsid w:val="00D629EB"/>
    <w:rsid w:val="00D652B5"/>
    <w:rsid w:val="00D66155"/>
    <w:rsid w:val="00D708B0"/>
    <w:rsid w:val="00D75870"/>
    <w:rsid w:val="00D77B1D"/>
    <w:rsid w:val="00D8021F"/>
    <w:rsid w:val="00D80383"/>
    <w:rsid w:val="00D823C6"/>
    <w:rsid w:val="00D82757"/>
    <w:rsid w:val="00D8327F"/>
    <w:rsid w:val="00D86CA3"/>
    <w:rsid w:val="00D871CE"/>
    <w:rsid w:val="00D9196D"/>
    <w:rsid w:val="00D92982"/>
    <w:rsid w:val="00D9720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87F"/>
    <w:rsid w:val="00E137BA"/>
    <w:rsid w:val="00E17FA2"/>
    <w:rsid w:val="00E22330"/>
    <w:rsid w:val="00E26196"/>
    <w:rsid w:val="00E271D2"/>
    <w:rsid w:val="00E30B5A"/>
    <w:rsid w:val="00E3123D"/>
    <w:rsid w:val="00E31461"/>
    <w:rsid w:val="00E31D43"/>
    <w:rsid w:val="00E32608"/>
    <w:rsid w:val="00E34188"/>
    <w:rsid w:val="00E34B6E"/>
    <w:rsid w:val="00E34F07"/>
    <w:rsid w:val="00E35559"/>
    <w:rsid w:val="00E3723A"/>
    <w:rsid w:val="00E37860"/>
    <w:rsid w:val="00E411DE"/>
    <w:rsid w:val="00E446F1"/>
    <w:rsid w:val="00E46886"/>
    <w:rsid w:val="00E47AEF"/>
    <w:rsid w:val="00E53B75"/>
    <w:rsid w:val="00E54E3B"/>
    <w:rsid w:val="00E55576"/>
    <w:rsid w:val="00E57565"/>
    <w:rsid w:val="00E63838"/>
    <w:rsid w:val="00E64434"/>
    <w:rsid w:val="00E67C51"/>
    <w:rsid w:val="00E72EFC"/>
    <w:rsid w:val="00E731A9"/>
    <w:rsid w:val="00E744BA"/>
    <w:rsid w:val="00E758EC"/>
    <w:rsid w:val="00E8234C"/>
    <w:rsid w:val="00E83AA9"/>
    <w:rsid w:val="00E85928"/>
    <w:rsid w:val="00E87822"/>
    <w:rsid w:val="00E90395"/>
    <w:rsid w:val="00E90E49"/>
    <w:rsid w:val="00E917F9"/>
    <w:rsid w:val="00E9291C"/>
    <w:rsid w:val="00E93FFE"/>
    <w:rsid w:val="00E94F8A"/>
    <w:rsid w:val="00EA7A41"/>
    <w:rsid w:val="00EB077B"/>
    <w:rsid w:val="00EB2568"/>
    <w:rsid w:val="00EB4EA2"/>
    <w:rsid w:val="00EC24D5"/>
    <w:rsid w:val="00EC27C6"/>
    <w:rsid w:val="00EC4207"/>
    <w:rsid w:val="00EC5653"/>
    <w:rsid w:val="00EC71CE"/>
    <w:rsid w:val="00ED1006"/>
    <w:rsid w:val="00EE3B62"/>
    <w:rsid w:val="00EF18FE"/>
    <w:rsid w:val="00EF31EC"/>
    <w:rsid w:val="00EF5787"/>
    <w:rsid w:val="00EF60D0"/>
    <w:rsid w:val="00F0528D"/>
    <w:rsid w:val="00F063FB"/>
    <w:rsid w:val="00F06C67"/>
    <w:rsid w:val="00F06DFD"/>
    <w:rsid w:val="00F071D1"/>
    <w:rsid w:val="00F07533"/>
    <w:rsid w:val="00F10629"/>
    <w:rsid w:val="00F15FA5"/>
    <w:rsid w:val="00F209B7"/>
    <w:rsid w:val="00F2376F"/>
    <w:rsid w:val="00F243D8"/>
    <w:rsid w:val="00F26CBD"/>
    <w:rsid w:val="00F302CB"/>
    <w:rsid w:val="00F30828"/>
    <w:rsid w:val="00F313D6"/>
    <w:rsid w:val="00F40F0C"/>
    <w:rsid w:val="00F4766C"/>
    <w:rsid w:val="00F5060E"/>
    <w:rsid w:val="00F507D1"/>
    <w:rsid w:val="00F519CE"/>
    <w:rsid w:val="00F51ADA"/>
    <w:rsid w:val="00F53E50"/>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74"/>
    <w:rsid w:val="00FF45A5"/>
    <w:rsid w:val="00FF5C91"/>
    <w:rsid w:val="068B3A20"/>
    <w:rsid w:val="17FA7019"/>
    <w:rsid w:val="19AF2A63"/>
    <w:rsid w:val="1B00E912"/>
    <w:rsid w:val="28B653C0"/>
    <w:rsid w:val="344A40A8"/>
    <w:rsid w:val="5E2499C8"/>
    <w:rsid w:val="5F087903"/>
    <w:rsid w:val="6FC8B871"/>
    <w:rsid w:val="75F9481D"/>
    <w:rsid w:val="7D60A2B9"/>
    <w:rsid w:val="7F84637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790DD20-CDA0-43B8-8EB0-58D285EE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1428E"/>
    <w:rPr>
      <w:rFonts w:ascii="Arial" w:eastAsiaTheme="minorHAnsi" w:hAnsi="Arial" w:cstheme="minorBidi"/>
      <w:b/>
      <w:szCs w:val="22"/>
      <w:lang w:val="en-US"/>
    </w:rPr>
  </w:style>
  <w:style w:type="character" w:customStyle="1" w:styleId="TALChar">
    <w:name w:val="TAL Char"/>
    <w:qFormat/>
    <w:locked/>
    <w:rsid w:val="0041428E"/>
    <w:rPr>
      <w:rFonts w:ascii="Arial" w:hAnsi="Arial" w:cs="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D0B943-A1DA-4808-A662-93F41938F5BF}"/>
</file>

<file path=customXml/itemProps3.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9b239327-9e80-40e4-b1b7-4394fed77a33"/>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D295D30-243C-4BB0-BB1C-156FBB6B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Pages>
  <Words>2793</Words>
  <Characters>15194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17952</CharactersWithSpaces>
  <SharedDoc>false</SharedDoc>
  <HLinks>
    <vt:vector size="72" baseType="variant">
      <vt:variant>
        <vt:i4>1179700</vt:i4>
      </vt:variant>
      <vt:variant>
        <vt:i4>62</vt:i4>
      </vt:variant>
      <vt:variant>
        <vt:i4>0</vt:i4>
      </vt:variant>
      <vt:variant>
        <vt:i4>5</vt:i4>
      </vt:variant>
      <vt:variant>
        <vt:lpwstr/>
      </vt:variant>
      <vt:variant>
        <vt:lpwstr>_Toc51252819</vt:lpwstr>
      </vt:variant>
      <vt:variant>
        <vt:i4>1245236</vt:i4>
      </vt:variant>
      <vt:variant>
        <vt:i4>59</vt:i4>
      </vt:variant>
      <vt:variant>
        <vt:i4>0</vt:i4>
      </vt:variant>
      <vt:variant>
        <vt:i4>5</vt:i4>
      </vt:variant>
      <vt:variant>
        <vt:lpwstr/>
      </vt:variant>
      <vt:variant>
        <vt:lpwstr>_Toc51252818</vt:lpwstr>
      </vt:variant>
      <vt:variant>
        <vt:i4>1835060</vt:i4>
      </vt:variant>
      <vt:variant>
        <vt:i4>56</vt:i4>
      </vt:variant>
      <vt:variant>
        <vt:i4>0</vt:i4>
      </vt:variant>
      <vt:variant>
        <vt:i4>5</vt:i4>
      </vt:variant>
      <vt:variant>
        <vt:lpwstr/>
      </vt:variant>
      <vt:variant>
        <vt:lpwstr>_Toc51252817</vt:lpwstr>
      </vt:variant>
      <vt:variant>
        <vt:i4>1900596</vt:i4>
      </vt:variant>
      <vt:variant>
        <vt:i4>53</vt:i4>
      </vt:variant>
      <vt:variant>
        <vt:i4>0</vt:i4>
      </vt:variant>
      <vt:variant>
        <vt:i4>5</vt:i4>
      </vt:variant>
      <vt:variant>
        <vt:lpwstr/>
      </vt:variant>
      <vt:variant>
        <vt:lpwstr>_Toc51252816</vt:lpwstr>
      </vt:variant>
      <vt:variant>
        <vt:i4>1966132</vt:i4>
      </vt:variant>
      <vt:variant>
        <vt:i4>50</vt:i4>
      </vt:variant>
      <vt:variant>
        <vt:i4>0</vt:i4>
      </vt:variant>
      <vt:variant>
        <vt:i4>5</vt:i4>
      </vt:variant>
      <vt:variant>
        <vt:lpwstr/>
      </vt:variant>
      <vt:variant>
        <vt:lpwstr>_Toc51252815</vt:lpwstr>
      </vt:variant>
      <vt:variant>
        <vt:i4>2031668</vt:i4>
      </vt:variant>
      <vt:variant>
        <vt:i4>47</vt:i4>
      </vt:variant>
      <vt:variant>
        <vt:i4>0</vt:i4>
      </vt:variant>
      <vt:variant>
        <vt:i4>5</vt:i4>
      </vt:variant>
      <vt:variant>
        <vt:lpwstr/>
      </vt:variant>
      <vt:variant>
        <vt:lpwstr>_Toc51252814</vt:lpwstr>
      </vt:variant>
      <vt:variant>
        <vt:i4>1572916</vt:i4>
      </vt:variant>
      <vt:variant>
        <vt:i4>44</vt:i4>
      </vt:variant>
      <vt:variant>
        <vt:i4>0</vt:i4>
      </vt:variant>
      <vt:variant>
        <vt:i4>5</vt:i4>
      </vt:variant>
      <vt:variant>
        <vt:lpwstr/>
      </vt:variant>
      <vt:variant>
        <vt:lpwstr>_Toc51252813</vt:lpwstr>
      </vt:variant>
      <vt:variant>
        <vt:i4>1638452</vt:i4>
      </vt:variant>
      <vt:variant>
        <vt:i4>38</vt:i4>
      </vt:variant>
      <vt:variant>
        <vt:i4>0</vt:i4>
      </vt:variant>
      <vt:variant>
        <vt:i4>5</vt:i4>
      </vt:variant>
      <vt:variant>
        <vt:lpwstr/>
      </vt:variant>
      <vt:variant>
        <vt:lpwstr>_Toc51252812</vt:lpwstr>
      </vt:variant>
      <vt:variant>
        <vt:i4>1703988</vt:i4>
      </vt:variant>
      <vt:variant>
        <vt:i4>35</vt:i4>
      </vt:variant>
      <vt:variant>
        <vt:i4>0</vt:i4>
      </vt:variant>
      <vt:variant>
        <vt:i4>5</vt:i4>
      </vt:variant>
      <vt:variant>
        <vt:lpwstr/>
      </vt:variant>
      <vt:variant>
        <vt:lpwstr>_Toc51252811</vt:lpwstr>
      </vt:variant>
      <vt:variant>
        <vt:i4>1769524</vt:i4>
      </vt:variant>
      <vt:variant>
        <vt:i4>32</vt:i4>
      </vt:variant>
      <vt:variant>
        <vt:i4>0</vt:i4>
      </vt:variant>
      <vt:variant>
        <vt:i4>5</vt:i4>
      </vt:variant>
      <vt:variant>
        <vt:lpwstr/>
      </vt:variant>
      <vt:variant>
        <vt:lpwstr>_Toc51252810</vt:lpwstr>
      </vt:variant>
      <vt:variant>
        <vt:i4>1179701</vt:i4>
      </vt:variant>
      <vt:variant>
        <vt:i4>29</vt:i4>
      </vt:variant>
      <vt:variant>
        <vt:i4>0</vt:i4>
      </vt:variant>
      <vt:variant>
        <vt:i4>5</vt:i4>
      </vt:variant>
      <vt:variant>
        <vt:lpwstr/>
      </vt:variant>
      <vt:variant>
        <vt:lpwstr>_Toc51252809</vt:lpwstr>
      </vt:variant>
      <vt:variant>
        <vt:i4>1245237</vt:i4>
      </vt:variant>
      <vt:variant>
        <vt:i4>26</vt:i4>
      </vt:variant>
      <vt:variant>
        <vt:i4>0</vt:i4>
      </vt:variant>
      <vt:variant>
        <vt:i4>5</vt:i4>
      </vt:variant>
      <vt:variant>
        <vt:lpwstr/>
      </vt:variant>
      <vt:variant>
        <vt:lpwstr>_Toc51252808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68</cp:revision>
  <cp:lastPrinted>2008-01-31T16:09:00Z</cp:lastPrinted>
  <dcterms:created xsi:type="dcterms:W3CDTF">2020-08-29T16:51:00Z</dcterms:created>
  <dcterms:modified xsi:type="dcterms:W3CDTF">2020-10-24T00:05:00Z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